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黑体" w:cs="黑体" w:eastAsia="黑体" w:hAnsi="黑体" w:hint="eastAsia"/>
          <w:b/>
          <w:bCs/>
          <w:sz w:val="52"/>
          <w:szCs w:val="52"/>
          <w:highlight w:val="none"/>
          <w:lang w:val="en-US" w:eastAsia="zh-CN"/>
        </w:rPr>
      </w:pPr>
      <w:r>
        <w:rPr>
          <w:rFonts w:ascii="黑体" w:cs="黑体" w:eastAsia="黑体" w:hAnsi="黑体" w:hint="eastAsia"/>
          <w:b/>
          <w:bCs/>
          <w:sz w:val="36"/>
          <w:szCs w:val="36"/>
          <w:highlight w:val="none"/>
          <w:lang w:val="en-US" w:eastAsia="zh-CN"/>
        </w:rPr>
        <w:t>关于建设梅州市限额以下招标采购电子交易平台</w:t>
      </w:r>
    </w:p>
    <w:p>
      <w:pPr>
        <w:pStyle w:val="style20"/>
        <w:numPr>
          <w:ilvl w:val="0"/>
          <w:numId w:val="0"/>
        </w:numPr>
        <w:spacing w:lineRule="auto" w:line="360"/>
        <w:jc w:val="center"/>
        <w:rPr>
          <w:rFonts w:ascii="黑体" w:cs="黑体" w:eastAsia="黑体" w:hAnsi="黑体" w:hint="eastAsia"/>
          <w:b/>
          <w:bCs/>
          <w:sz w:val="52"/>
          <w:szCs w:val="52"/>
          <w:highlight w:val="none"/>
          <w:lang w:val="en-US" w:eastAsia="zh-CN"/>
        </w:rPr>
      </w:pPr>
      <w:r>
        <w:rPr>
          <w:rFonts w:ascii="黑体" w:cs="黑体" w:eastAsia="黑体" w:hAnsi="黑体" w:hint="eastAsia"/>
          <w:b/>
          <w:bCs/>
          <w:sz w:val="36"/>
          <w:szCs w:val="36"/>
          <w:highlight w:val="none"/>
          <w:lang w:val="en-US" w:eastAsia="zh-CN"/>
        </w:rPr>
        <w:t>（征求意见）稿</w:t>
      </w:r>
    </w:p>
    <w:p>
      <w:pPr>
        <w:pStyle w:val="style20"/>
        <w:rPr/>
      </w:pPr>
    </w:p>
    <w:p>
      <w:pPr>
        <w:pStyle w:val="style0"/>
        <w:keepNext w:val="false"/>
        <w:keepLines w:val="false"/>
        <w:widowControl w:val="false"/>
        <w:suppressLineNumbers w:val="false"/>
        <w:spacing w:before="0" w:beforeAutospacing="false" w:after="0" w:afterAutospacing="false" w:lineRule="auto" w:line="360"/>
        <w:ind w:left="0" w:right="0"/>
        <w:jc w:val="both"/>
        <w:outlineLvl w:val="0"/>
        <w:rPr/>
      </w:pPr>
      <w:r>
        <w:rPr>
          <w:rFonts w:ascii="黑体" w:cs="黑体" w:eastAsia="黑体" w:hAnsi="宋体" w:hint="eastAsia"/>
          <w:kern w:val="2"/>
          <w:sz w:val="32"/>
          <w:szCs w:val="32"/>
          <w:lang w:val="en-US" w:eastAsia="zh-CN"/>
        </w:rPr>
        <w:t>一、政策背景</w:t>
      </w:r>
    </w:p>
    <w:p>
      <w:pPr>
        <w:pStyle w:val="style0"/>
        <w:spacing w:lineRule="auto" w:line="360"/>
        <w:ind w:firstLine="480" w:firstLineChars="200"/>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依据《必须招标的工程项目规定》（国家发展改革委2018年第16号令）以及《必须招标的基础设施和公共事业项目范围规定》(发改法规〔2018〕843号)、《关于进一步规范电子招标投标系统建设运营的通知》（发改法规[2014]1925号）、《“互联网+”招标采购行动方案（2017-2019年）》（以下简称《行动方案》）明确全国执行统一的规模标准，提高必须招标项目，进一步扩大市场主体特别是民营企业自主权，明确了交易平台由招标投标交易场所、招标人以及其他法人建设运营，支持招标代理机构、软件开发企业等第三方主体独立建设运营。促进交易平台要按照市场化、专业化、集约化方向建设运营。支持和鼓励交易平台通过优质高效服务，吸引非依法必须招标项目自愿运用电子化招标采购，加快交易平台市场化发展。</w:t>
      </w:r>
    </w:p>
    <w:p>
      <w:pPr>
        <w:pStyle w:val="style20"/>
        <w:rPr>
          <w:rFonts w:hint="eastAsia"/>
        </w:rPr>
      </w:pPr>
    </w:p>
    <w:p>
      <w:pPr>
        <w:pStyle w:val="style0"/>
        <w:keepNext w:val="false"/>
        <w:keepLines w:val="false"/>
        <w:widowControl w:val="false"/>
        <w:suppressLineNumbers w:val="false"/>
        <w:spacing w:before="0" w:beforeAutospacing="false" w:after="0" w:afterAutospacing="false" w:lineRule="auto" w:line="360"/>
        <w:ind w:left="0" w:right="0"/>
        <w:jc w:val="both"/>
        <w:outlineLvl w:val="0"/>
        <w:rPr>
          <w:rFonts w:ascii="黑体" w:cs="黑体" w:eastAsia="黑体" w:hAnsi="宋体" w:hint="eastAsia"/>
          <w:kern w:val="2"/>
          <w:sz w:val="32"/>
          <w:szCs w:val="32"/>
          <w:lang w:val="en-US" w:eastAsia="zh-CN"/>
        </w:rPr>
      </w:pPr>
      <w:r>
        <w:rPr>
          <w:rFonts w:ascii="黑体" w:cs="黑体" w:eastAsia="黑体" w:hAnsi="宋体" w:hint="eastAsia"/>
          <w:kern w:val="2"/>
          <w:sz w:val="32"/>
          <w:szCs w:val="32"/>
          <w:lang w:val="en-US" w:eastAsia="zh-CN"/>
        </w:rPr>
        <w:t>二、建设目标</w:t>
      </w:r>
    </w:p>
    <w:p>
      <w:pPr>
        <w:pStyle w:val="style0"/>
        <w:spacing w:lineRule="auto" w:line="360"/>
        <w:ind w:firstLine="480" w:firstLineChars="200"/>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梅州市限额以下招标采购电子交易平台的建设，目的是为了我市非依法必须招标项目能够通过一个平台完成交易的过程。各招标单位按照专业化方向,通过平台优质高效服务自愿运用到电子化招标采购平台完成交易。同时平台可以进一步规范招标投标市场，优化市场资源配置扩大市场主体的自主权，减轻企业负担，激发市场活力和创造力。多方面推进我市自行采购交易，招标代理公司的数字化转型。</w:t>
      </w:r>
    </w:p>
    <w:p>
      <w:pPr>
        <w:pStyle w:val="style20"/>
        <w:ind w:left="0" w:leftChars="0" w:firstLine="0" w:firstLineChars="0"/>
        <w:rPr>
          <w:rFonts w:hint="default"/>
          <w:lang w:val="en-US" w:eastAsia="zh-CN"/>
        </w:rPr>
      </w:pPr>
    </w:p>
    <w:p>
      <w:pPr>
        <w:pStyle w:val="style0"/>
        <w:keepNext w:val="false"/>
        <w:keepLines w:val="false"/>
        <w:widowControl w:val="false"/>
        <w:suppressLineNumbers w:val="false"/>
        <w:spacing w:before="0" w:beforeAutospacing="false" w:after="0" w:afterAutospacing="false" w:lineRule="auto" w:line="360"/>
        <w:ind w:left="0" w:right="0"/>
        <w:jc w:val="both"/>
        <w:outlineLvl w:val="0"/>
        <w:rPr>
          <w:rFonts w:ascii="黑体" w:cs="黑体" w:eastAsia="黑体" w:hAnsi="宋体" w:hint="eastAsia"/>
          <w:kern w:val="2"/>
          <w:sz w:val="32"/>
          <w:szCs w:val="32"/>
          <w:lang w:val="en-US" w:eastAsia="zh-CN"/>
        </w:rPr>
      </w:pPr>
      <w:r>
        <w:rPr>
          <w:rFonts w:ascii="黑体" w:cs="黑体" w:eastAsia="黑体" w:hAnsi="宋体" w:hint="eastAsia"/>
          <w:kern w:val="2"/>
          <w:sz w:val="32"/>
          <w:szCs w:val="32"/>
          <w:lang w:val="en-US" w:eastAsia="zh-CN"/>
        </w:rPr>
        <w:t>三、建设内容</w:t>
      </w:r>
    </w:p>
    <w:p>
      <w:pPr>
        <w:pStyle w:val="style0"/>
        <w:spacing w:lineRule="auto" w:line="360"/>
        <w:ind w:firstLine="480" w:firstLineChars="200"/>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highlight w:val="none"/>
          <w:lang w:val="en-US" w:eastAsia="zh-CN"/>
        </w:rPr>
        <w:t>1、梅州市限额以下招标采购电子平台，系统建</w:t>
      </w:r>
      <w:r>
        <w:rPr>
          <w:rFonts w:ascii="微软雅黑" w:cs="微软雅黑" w:eastAsia="微软雅黑" w:hAnsi="微软雅黑" w:hint="eastAsia"/>
          <w:color w:val="000000"/>
          <w:kern w:val="0"/>
          <w:sz w:val="24"/>
          <w:szCs w:val="24"/>
          <w:lang w:val="en-US" w:eastAsia="zh-CN"/>
        </w:rPr>
        <w:t>设主要包含门户网站、招标人、代理机构网上办事系统、投标人网上办事系统、电子文件制作系统、网上开标评标系统、电子竞价系统、资金服务系统、CA证书发放服务系统以及智能客服系统等。招标人、代理机构、投标人、评标专家等用户可以登录到平台，根据自己在交易活动中下职责，独立的进行业务办理。</w:t>
      </w:r>
    </w:p>
    <w:p>
      <w:pPr>
        <w:pStyle w:val="style20"/>
        <w:rPr>
          <w:rFonts w:hint="eastAsia"/>
        </w:rPr>
      </w:pPr>
    </w:p>
    <w:p>
      <w:pPr>
        <w:pStyle w:val="style0"/>
        <w:rPr>
          <w:rFonts w:hint="eastAsia"/>
        </w:rPr>
      </w:pPr>
      <w:r>
        <w:rPr/>
        <mc:AlternateContent>
          <mc:Choice Requires="wpg">
            <w:drawing>
              <wp:anchor distT="0" distB="0" distL="114300" distR="114300" simplePos="false" relativeHeight="2" behindDoc="false" locked="false" layoutInCell="true" allowOverlap="true">
                <wp:simplePos x="0" y="0"/>
                <wp:positionH relativeFrom="column">
                  <wp:posOffset>-501015</wp:posOffset>
                </wp:positionH>
                <wp:positionV relativeFrom="paragraph">
                  <wp:posOffset>65405</wp:posOffset>
                </wp:positionV>
                <wp:extent cx="6517640" cy="2236470"/>
                <wp:effectExtent l="0" t="0" r="0" b="0"/>
                <wp:wrapSquare wrapText="bothSides"/>
                <wp:docPr id="1026" name="画布 10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Canvas">
                    <wpc:wpc>
                      <wpc:bg/>
                      <wpc:whole>
                        <a:ln>
                          <a:noFill/>
                        </a:ln>
                      </wpc:whole>
                      <wps:wsp>
                        <wps:cNvSpPr/>
                        <wps:spPr>
                          <a:xfrm rot="0">
                            <a:off x="2013585" y="5080"/>
                            <a:ext cx="2819400" cy="323850"/>
                          </a:xfrm>
                          <a:prstGeom prst="rect"/>
                          <a:solidFill>
                            <a:srgbClr val="ffffff"/>
                          </a:solidFill>
                          <a:ln cmpd="sng" cap="flat" w="9525">
                            <a:solidFill>
                              <a:srgbClr val="000000"/>
                            </a:solidFill>
                            <a:prstDash val="solid"/>
                            <a:miter/>
                            <a:headEnd len="med" w="med" type="none"/>
                            <a:tailEnd len="med" w="med" type="none"/>
                          </a:ln>
                        </wps:spPr>
                        <wps:txbx id="1028">
                          <w:txbxContent>
                            <w:p>
                              <w:pPr>
                                <w:pStyle w:val="style0"/>
                                <w:jc w:val="center"/>
                                <w:rPr>
                                  <w:rFonts w:eastAsia="宋体" w:hint="eastAsia"/>
                                  <w:b/>
                                  <w:bCs/>
                                  <w:highlight w:val="none"/>
                                  <w:lang w:eastAsia="zh-CN"/>
                                </w:rPr>
                              </w:pPr>
                              <w:r>
                                <w:rPr>
                                  <w:rFonts w:hint="eastAsia"/>
                                  <w:b/>
                                  <w:bCs/>
                                  <w:highlight w:val="none"/>
                                  <w:lang w:eastAsia="zh-CN"/>
                                </w:rPr>
                                <w:t>梅州</w:t>
                              </w:r>
                              <w:r>
                                <w:rPr>
                                  <w:rFonts w:hint="eastAsia"/>
                                  <w:b/>
                                  <w:bCs/>
                                  <w:highlight w:val="none"/>
                                </w:rPr>
                                <w:t>限额以下招标采购</w:t>
                              </w:r>
                              <w:r>
                                <w:rPr>
                                  <w:rFonts w:hint="eastAsia"/>
                                  <w:b/>
                                  <w:bCs/>
                                  <w:highlight w:val="none"/>
                                  <w:lang w:eastAsia="zh-CN"/>
                                </w:rPr>
                                <w:t>电子</w:t>
                              </w:r>
                              <w:r>
                                <w:rPr>
                                  <w:rFonts w:hint="eastAsia"/>
                                  <w:b/>
                                  <w:bCs/>
                                  <w:highlight w:val="none"/>
                                </w:rPr>
                                <w:t>平台</w:t>
                              </w:r>
                            </w:p>
                          </w:txbxContent>
                        </wps:txbx>
                        <wps:bodyPr upright="true">
                          <a:prstTxWarp prst="textNoShape"/>
                        </wps:bodyPr>
                      </wps:wsp>
                      <wps:wsp>
                        <wps:cNvSpPr/>
                        <wps:spPr>
                          <a:xfrm rot="0">
                            <a:off x="306705" y="744220"/>
                            <a:ext cx="437515" cy="1361440"/>
                          </a:xfrm>
                          <a:prstGeom prst="rect"/>
                          <a:solidFill>
                            <a:srgbClr val="ffffff"/>
                          </a:solidFill>
                          <a:ln cmpd="sng" cap="flat" w="9525">
                            <a:solidFill>
                              <a:srgbClr val="000000"/>
                            </a:solidFill>
                            <a:prstDash val="solid"/>
                            <a:miter/>
                            <a:headEnd len="med" w="med" type="none"/>
                            <a:tailEnd len="med" w="med" type="none"/>
                          </a:ln>
                        </wps:spPr>
                        <wps:txbx id="1029">
                          <w:txbxContent>
                            <w:p>
                              <w:pPr>
                                <w:pStyle w:val="style0"/>
                                <w:jc w:val="center"/>
                                <w:rPr/>
                              </w:pPr>
                              <w:r>
                                <w:rPr>
                                  <w:rFonts w:hint="eastAsia"/>
                                </w:rPr>
                                <w:t>平台门户网站</w:t>
                              </w:r>
                            </w:p>
                          </w:txbxContent>
                        </wps:txbx>
                        <wps:bodyPr upright="true">
                          <a:prstTxWarp prst="textNoShape"/>
                        </wps:bodyPr>
                      </wps:wsp>
                      <wps:wsp>
                        <wps:cNvSpPr/>
                        <wps:spPr>
                          <a:xfrm rot="0">
                            <a:off x="816610" y="744220"/>
                            <a:ext cx="461643" cy="1361440"/>
                          </a:xfrm>
                          <a:prstGeom prst="rect"/>
                          <a:solidFill>
                            <a:srgbClr val="ffffff"/>
                          </a:solidFill>
                          <a:ln cmpd="sng" cap="flat" w="9525">
                            <a:solidFill>
                              <a:srgbClr val="000000"/>
                            </a:solidFill>
                            <a:prstDash val="solid"/>
                            <a:miter/>
                            <a:headEnd len="med" w="med" type="none"/>
                            <a:tailEnd len="med" w="med" type="none"/>
                          </a:ln>
                        </wps:spPr>
                        <wps:txbx id="1030">
                          <w:txbxContent>
                            <w:p>
                              <w:pPr>
                                <w:pStyle w:val="style0"/>
                                <w:jc w:val="center"/>
                                <w:rPr/>
                              </w:pPr>
                              <w:r>
                                <w:rPr>
                                  <w:rFonts w:hint="eastAsia"/>
                                </w:rPr>
                                <w:t>工作人员网上办事系统</w:t>
                              </w:r>
                            </w:p>
                          </w:txbxContent>
                        </wps:txbx>
                        <wps:bodyPr upright="true">
                          <a:prstTxWarp prst="textNoShape"/>
                        </wps:bodyPr>
                      </wps:wsp>
                      <wps:wsp>
                        <wps:cNvSpPr/>
                        <wps:spPr>
                          <a:xfrm rot="5400000">
                            <a:off x="1764665" y="-914400"/>
                            <a:ext cx="415290" cy="2897505"/>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5400000">
                            <a:off x="2025649" y="-653415"/>
                            <a:ext cx="415290" cy="2375535"/>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0">
                            <a:off x="1343660" y="744220"/>
                            <a:ext cx="461645" cy="1361440"/>
                          </a:xfrm>
                          <a:prstGeom prst="rect"/>
                          <a:solidFill>
                            <a:srgbClr val="ffffff"/>
                          </a:solidFill>
                          <a:ln cmpd="sng" cap="flat" w="9525">
                            <a:solidFill>
                              <a:srgbClr val="000000"/>
                            </a:solidFill>
                            <a:prstDash val="solid"/>
                            <a:miter/>
                            <a:headEnd len="med" w="med" type="none"/>
                            <a:tailEnd len="med" w="med" type="none"/>
                          </a:ln>
                        </wps:spPr>
                        <wps:txbx id="1033">
                          <w:txbxContent>
                            <w:p>
                              <w:pPr>
                                <w:pStyle w:val="style0"/>
                                <w:jc w:val="center"/>
                                <w:rPr/>
                              </w:pPr>
                              <w:r>
                                <w:rPr>
                                  <w:rFonts w:hint="eastAsia"/>
                                </w:rPr>
                                <w:t>代理机构网上办事系统</w:t>
                              </w:r>
                            </w:p>
                          </w:txbxContent>
                        </wps:txbx>
                        <wps:bodyPr upright="true">
                          <a:prstTxWarp prst="textNoShape"/>
                        </wps:bodyPr>
                      </wps:wsp>
                      <wps:wsp>
                        <wps:cNvSpPr/>
                        <wps:spPr>
                          <a:xfrm rot="0">
                            <a:off x="1865630" y="744220"/>
                            <a:ext cx="461643" cy="1361440"/>
                          </a:xfrm>
                          <a:prstGeom prst="rect"/>
                          <a:solidFill>
                            <a:srgbClr val="ffffff"/>
                          </a:solidFill>
                          <a:ln cmpd="sng" cap="flat" w="9525">
                            <a:solidFill>
                              <a:srgbClr val="000000"/>
                            </a:solidFill>
                            <a:prstDash val="solid"/>
                            <a:miter/>
                            <a:headEnd len="med" w="med" type="none"/>
                            <a:tailEnd len="med" w="med" type="none"/>
                          </a:ln>
                        </wps:spPr>
                        <wps:txbx id="1034">
                          <w:txbxContent>
                            <w:p>
                              <w:pPr>
                                <w:pStyle w:val="style0"/>
                                <w:jc w:val="center"/>
                                <w:rPr/>
                              </w:pPr>
                              <w:r>
                                <w:rPr>
                                  <w:rFonts w:hint="eastAsia"/>
                                </w:rPr>
                                <w:t>投标人网上办事系统</w:t>
                              </w:r>
                            </w:p>
                          </w:txbxContent>
                        </wps:txbx>
                        <wps:bodyPr upright="true">
                          <a:prstTxWarp prst="textNoShape"/>
                        </wps:bodyPr>
                      </wps:wsp>
                      <wps:wsp>
                        <wps:cNvSpPr/>
                        <wps:spPr>
                          <a:xfrm rot="0">
                            <a:off x="2399665" y="744220"/>
                            <a:ext cx="460375" cy="1361440"/>
                          </a:xfrm>
                          <a:prstGeom prst="rect"/>
                          <a:solidFill>
                            <a:srgbClr val="ffffff"/>
                          </a:solidFill>
                          <a:ln cmpd="sng" cap="flat" w="9525">
                            <a:solidFill>
                              <a:srgbClr val="000000"/>
                            </a:solidFill>
                            <a:prstDash val="solid"/>
                            <a:miter/>
                            <a:headEnd len="med" w="med" type="none"/>
                            <a:tailEnd len="med" w="med" type="none"/>
                          </a:ln>
                        </wps:spPr>
                        <wps:txbx id="1035">
                          <w:txbxContent>
                            <w:p>
                              <w:pPr>
                                <w:pStyle w:val="style0"/>
                                <w:jc w:val="center"/>
                                <w:rPr/>
                              </w:pPr>
                              <w:r>
                                <w:rPr>
                                  <w:rFonts w:hint="eastAsia"/>
                                </w:rPr>
                                <w:t>电子文件制作系统</w:t>
                              </w:r>
                            </w:p>
                          </w:txbxContent>
                        </wps:txbx>
                        <wps:bodyPr upright="true">
                          <a:prstTxWarp prst="textNoShape"/>
                        </wps:bodyPr>
                      </wps:wsp>
                      <wps:wsp>
                        <wps:cNvSpPr/>
                        <wps:spPr>
                          <a:xfrm rot="0">
                            <a:off x="2931795" y="744220"/>
                            <a:ext cx="460373" cy="1361440"/>
                          </a:xfrm>
                          <a:prstGeom prst="rect"/>
                          <a:solidFill>
                            <a:srgbClr val="ffffff"/>
                          </a:solidFill>
                          <a:ln cmpd="sng" cap="flat" w="9525">
                            <a:solidFill>
                              <a:srgbClr val="000000"/>
                            </a:solidFill>
                            <a:prstDash val="solid"/>
                            <a:miter/>
                            <a:headEnd len="med" w="med" type="none"/>
                            <a:tailEnd len="med" w="med" type="none"/>
                          </a:ln>
                        </wps:spPr>
                        <wps:txbx id="1036">
                          <w:txbxContent>
                            <w:p>
                              <w:pPr>
                                <w:pStyle w:val="style0"/>
                                <w:jc w:val="center"/>
                                <w:rPr/>
                              </w:pPr>
                              <w:r>
                                <w:rPr>
                                  <w:rFonts w:hint="eastAsia"/>
                                </w:rPr>
                                <w:t>网上开标评标(评审</w:t>
                              </w:r>
                              <w:r>
                                <w:t>)</w:t>
                              </w:r>
                              <w:r>
                                <w:rPr>
                                  <w:rFonts w:hint="eastAsia"/>
                                </w:rPr>
                                <w:t>系统</w:t>
                              </w:r>
                            </w:p>
                          </w:txbxContent>
                        </wps:txbx>
                        <wps:bodyPr upright="true">
                          <a:prstTxWarp prst="textNoShape"/>
                        </wps:bodyPr>
                      </wps:wsp>
                      <wps:wsp>
                        <wps:cNvSpPr/>
                        <wps:spPr>
                          <a:xfrm rot="0">
                            <a:off x="3463290" y="744220"/>
                            <a:ext cx="371475" cy="1361440"/>
                          </a:xfrm>
                          <a:prstGeom prst="rect"/>
                          <a:solidFill>
                            <a:srgbClr val="ffffff"/>
                          </a:solidFill>
                          <a:ln cmpd="sng" cap="flat" w="9525">
                            <a:solidFill>
                              <a:srgbClr val="000000"/>
                            </a:solidFill>
                            <a:prstDash val="solid"/>
                            <a:miter/>
                            <a:headEnd len="med" w="med" type="none"/>
                            <a:tailEnd len="med" w="med" type="none"/>
                          </a:ln>
                        </wps:spPr>
                        <wps:txbx id="1037">
                          <w:txbxContent>
                            <w:p>
                              <w:pPr>
                                <w:pStyle w:val="style0"/>
                                <w:jc w:val="center"/>
                                <w:rPr/>
                              </w:pPr>
                              <w:r>
                                <w:rPr>
                                  <w:rFonts w:hint="eastAsia"/>
                                </w:rPr>
                                <w:t>电子竞价系统</w:t>
                              </w:r>
                            </w:p>
                          </w:txbxContent>
                        </wps:txbx>
                        <wps:bodyPr upright="true">
                          <a:prstTxWarp prst="textNoShape"/>
                        </wps:bodyPr>
                      </wps:wsp>
                      <wps:wsp>
                        <wps:cNvSpPr/>
                        <wps:spPr>
                          <a:xfrm rot="0">
                            <a:off x="3898900" y="744220"/>
                            <a:ext cx="371475" cy="1361440"/>
                          </a:xfrm>
                          <a:prstGeom prst="rect"/>
                          <a:solidFill>
                            <a:srgbClr val="ffffff"/>
                          </a:solidFill>
                          <a:ln cmpd="sng" cap="flat" w="9525">
                            <a:solidFill>
                              <a:srgbClr val="000000"/>
                            </a:solidFill>
                            <a:prstDash val="solid"/>
                            <a:miter/>
                            <a:headEnd len="med" w="med" type="none"/>
                            <a:tailEnd len="med" w="med" type="none"/>
                          </a:ln>
                        </wps:spPr>
                        <wps:txbx id="1038">
                          <w:txbxContent>
                            <w:p>
                              <w:pPr>
                                <w:pStyle w:val="style0"/>
                                <w:jc w:val="center"/>
                                <w:rPr/>
                              </w:pPr>
                              <w:r>
                                <w:rPr>
                                  <w:rFonts w:hint="eastAsia"/>
                                </w:rPr>
                                <w:t>资金服务系统</w:t>
                              </w:r>
                            </w:p>
                          </w:txbxContent>
                        </wps:txbx>
                        <wps:bodyPr upright="true">
                          <a:prstTxWarp prst="textNoShape"/>
                        </wps:bodyPr>
                      </wps:wsp>
                      <wps:wsp>
                        <wps:cNvSpPr/>
                        <wps:spPr>
                          <a:xfrm rot="0">
                            <a:off x="4341495" y="744220"/>
                            <a:ext cx="466725" cy="1361440"/>
                          </a:xfrm>
                          <a:prstGeom prst="rect"/>
                          <a:solidFill>
                            <a:srgbClr val="ffffff"/>
                          </a:solidFill>
                          <a:ln cmpd="sng" cap="flat" w="9525">
                            <a:solidFill>
                              <a:srgbClr val="000000"/>
                            </a:solidFill>
                            <a:prstDash val="solid"/>
                            <a:miter/>
                            <a:headEnd len="med" w="med" type="none"/>
                            <a:tailEnd len="med" w="med" type="none"/>
                          </a:ln>
                        </wps:spPr>
                        <wps:txbx id="1039">
                          <w:txbxContent>
                            <w:p>
                              <w:pPr>
                                <w:pStyle w:val="style0"/>
                                <w:jc w:val="center"/>
                                <w:rPr/>
                              </w:pPr>
                              <w:r>
                                <w:rPr>
                                  <w:rFonts w:hint="eastAsia"/>
                                </w:rPr>
                                <w:t>C</w:t>
                              </w:r>
                              <w:r>
                                <w:t>A</w:t>
                              </w:r>
                              <w:r>
                                <w:rPr>
                                  <w:rFonts w:hint="eastAsia"/>
                                </w:rPr>
                                <w:t>证书发放服务系统</w:t>
                              </w:r>
                            </w:p>
                          </w:txbxContent>
                        </wps:txbx>
                        <wps:bodyPr upright="true">
                          <a:prstTxWarp prst="textNoShape"/>
                        </wps:bodyPr>
                      </wps:wsp>
                      <wps:wsp>
                        <wps:cNvSpPr/>
                        <wps:spPr>
                          <a:xfrm rot="0">
                            <a:off x="4859020" y="744220"/>
                            <a:ext cx="400050" cy="1361440"/>
                          </a:xfrm>
                          <a:prstGeom prst="rect"/>
                          <a:solidFill>
                            <a:srgbClr val="ffffff"/>
                          </a:solidFill>
                          <a:ln cmpd="sng" cap="flat" w="9525">
                            <a:solidFill>
                              <a:srgbClr val="000000"/>
                            </a:solidFill>
                            <a:prstDash val="solid"/>
                            <a:miter/>
                            <a:headEnd len="med" w="med" type="none"/>
                            <a:tailEnd len="med" w="med" type="none"/>
                          </a:ln>
                        </wps:spPr>
                        <wps:txbx id="1040">
                          <w:txbxContent>
                            <w:p>
                              <w:pPr>
                                <w:pStyle w:val="style0"/>
                                <w:jc w:val="center"/>
                                <w:rPr/>
                              </w:pPr>
                              <w:r>
                                <w:rPr>
                                  <w:rFonts w:hint="eastAsia"/>
                                </w:rPr>
                                <w:t>新点标证通</w:t>
                              </w:r>
                            </w:p>
                          </w:txbxContent>
                        </wps:txbx>
                        <wps:bodyPr upright="true">
                          <a:prstTxWarp prst="textNoShape"/>
                        </wps:bodyPr>
                      </wps:wsp>
                      <wps:wsp>
                        <wps:cNvSpPr/>
                        <wps:spPr>
                          <a:xfrm rot="0">
                            <a:off x="5338445" y="744220"/>
                            <a:ext cx="400050" cy="1361440"/>
                          </a:xfrm>
                          <a:prstGeom prst="rect"/>
                          <a:solidFill>
                            <a:srgbClr val="ffffff"/>
                          </a:solidFill>
                          <a:ln cmpd="sng" cap="flat" w="9525">
                            <a:solidFill>
                              <a:srgbClr val="000000"/>
                            </a:solidFill>
                            <a:prstDash val="solid"/>
                            <a:miter/>
                            <a:headEnd len="med" w="med" type="none"/>
                            <a:tailEnd len="med" w="med" type="none"/>
                          </a:ln>
                        </wps:spPr>
                        <wps:txbx id="1041">
                          <w:txbxContent>
                            <w:p>
                              <w:pPr>
                                <w:pStyle w:val="style0"/>
                                <w:jc w:val="center"/>
                                <w:rPr/>
                              </w:pPr>
                              <w:r>
                                <w:rPr>
                                  <w:rFonts w:hint="eastAsia"/>
                                </w:rPr>
                                <w:t>智能客服系统</w:t>
                              </w:r>
                            </w:p>
                          </w:txbxContent>
                        </wps:txbx>
                        <wps:bodyPr upright="true">
                          <a:prstTxWarp prst="textNoShape"/>
                        </wps:bodyPr>
                      </wps:wsp>
                      <wps:wsp>
                        <wps:cNvSpPr/>
                        <wps:spPr>
                          <a:xfrm rot="0">
                            <a:off x="5795645" y="744220"/>
                            <a:ext cx="466725" cy="1361440"/>
                          </a:xfrm>
                          <a:prstGeom prst="rect"/>
                          <a:solidFill>
                            <a:srgbClr val="ffffff"/>
                          </a:solidFill>
                          <a:ln cmpd="sng" cap="flat" w="9525">
                            <a:solidFill>
                              <a:srgbClr val="000000"/>
                            </a:solidFill>
                            <a:prstDash val="solid"/>
                            <a:miter/>
                            <a:headEnd len="med" w="med" type="none"/>
                            <a:tailEnd len="med" w="med" type="none"/>
                          </a:ln>
                        </wps:spPr>
                        <wps:txbx id="1042">
                          <w:txbxContent>
                            <w:p>
                              <w:pPr>
                                <w:pStyle w:val="style0"/>
                                <w:jc w:val="center"/>
                                <w:rPr/>
                              </w:pPr>
                              <w:r>
                                <w:rPr>
                                  <w:rFonts w:hint="eastAsia"/>
                                </w:rPr>
                                <w:t>系统集成接口设计</w:t>
                              </w:r>
                            </w:p>
                          </w:txbxContent>
                        </wps:txbx>
                        <wps:bodyPr upright="true">
                          <a:prstTxWarp prst="textNoShape"/>
                        </wps:bodyPr>
                      </wps:wsp>
                      <wps:wsp>
                        <wps:cNvSpPr/>
                        <wps:spPr>
                          <a:xfrm rot="5400000">
                            <a:off x="2289175" y="-389890"/>
                            <a:ext cx="415289" cy="1848485"/>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5400000">
                            <a:off x="2550160" y="-128905"/>
                            <a:ext cx="415290" cy="1326515"/>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5400000">
                            <a:off x="2816860" y="137795"/>
                            <a:ext cx="415290" cy="793115"/>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5400000">
                            <a:off x="3082925" y="403860"/>
                            <a:ext cx="415290" cy="260985"/>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5400000" flipH="1">
                            <a:off x="3328670" y="423545"/>
                            <a:ext cx="415290" cy="226058"/>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5400000" flipH="1">
                            <a:off x="3546475" y="205740"/>
                            <a:ext cx="415290" cy="661670"/>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5400000" flipH="1">
                            <a:off x="3791585" y="-39370"/>
                            <a:ext cx="415289" cy="1151890"/>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5400000" flipH="1">
                            <a:off x="4033520" y="-281305"/>
                            <a:ext cx="415290" cy="1635760"/>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5400000" flipH="1">
                            <a:off x="4271010" y="-523240"/>
                            <a:ext cx="415290" cy="2115185"/>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s:wsp>
                        <wps:cNvSpPr/>
                        <wps:spPr>
                          <a:xfrm rot="-5400000" flipH="1">
                            <a:off x="4518660" y="-766445"/>
                            <a:ext cx="415289" cy="2606040"/>
                          </a:xfrm>
                          <a:prstGeom prst="bentConnector3">
                            <a:avLst>
                              <a:gd name="adj1" fmla="val 50000"/>
                            </a:avLst>
                          </a:prstGeom>
                          <a:ln cmpd="sng" cap="flat" w="9525">
                            <a:solidFill>
                              <a:srgbClr val="000000"/>
                            </a:solidFill>
                            <a:prstDash val="solid"/>
                            <a:miter/>
                            <a:headEnd len="med" w="med" type="none"/>
                            <a:tailEnd len="med" w="med" type="none"/>
                          </a:ln>
                        </wps:spPr>
                        <wps:bodyPr>
                          <a:prstTxWarp prst="textNoShape"/>
                        </wps:bodyPr>
                      </wps:wsp>
                    </wpc:wpc>
                  </a:graphicData>
                </a:graphic>
              </wp:anchor>
            </w:drawing>
          </mc:Choice>
          <mc:Fallback>
            <w:pict>
              <v:group id="1026" filled="f" stroked="f" style="position:absolute;margin-left:-39.45pt;margin-top:5.15pt;width:513.2pt;height:176.1pt;z-index:2;mso-position-horizontal-relative:text;mso-position-vertical-relative:text;mso-width-relative:page;mso-height-relative:page;visibility:visible;" coordsize="6517640,2236470" editas="canvas">
                <v:shape id="1027" type="#_x0000_t75" filled="f" stroked="f" style="position:absolute;left:0;top:0;width:6517640;height:2236470;z-index:2;mso-position-horizontal-relative:text;mso-position-vertical-relative:text;mso-width-relative:page;mso-height-relative:page;visibility:visible;">
                  <v:stroke on="f"/>
                  <w10:wrap type="square"/>
                  <v:fill/>
                </v:shape>
                <v:rect id="1028" fillcolor="white" stroked="t" style="position:absolute;left:2013585;top:5080;width:2819400;height:323850;z-index:3;mso-position-horizontal-relative:page;mso-position-vertical-relative:page;mso-width-relative:page;mso-height-relative:page;visibility:visible;">
                  <v:stroke joinstyle="miter"/>
                  <v:fill/>
                  <v:textbox>
                    <w:txbxContent>
                      <w:p>
                        <w:pPr>
                          <w:pStyle w:val="style0"/>
                          <w:jc w:val="center"/>
                          <w:rPr>
                            <w:rFonts w:eastAsia="宋体" w:hint="eastAsia"/>
                            <w:b/>
                            <w:bCs/>
                            <w:highlight w:val="none"/>
                            <w:lang w:eastAsia="zh-CN"/>
                          </w:rPr>
                        </w:pPr>
                        <w:r>
                          <w:rPr>
                            <w:rFonts w:hint="eastAsia"/>
                            <w:b/>
                            <w:bCs/>
                            <w:highlight w:val="none"/>
                            <w:lang w:eastAsia="zh-CN"/>
                          </w:rPr>
                          <w:t>梅州</w:t>
                        </w:r>
                        <w:r>
                          <w:rPr>
                            <w:rFonts w:hint="eastAsia"/>
                            <w:b/>
                            <w:bCs/>
                            <w:highlight w:val="none"/>
                          </w:rPr>
                          <w:t>限额以下招标采购</w:t>
                        </w:r>
                        <w:r>
                          <w:rPr>
                            <w:rFonts w:hint="eastAsia"/>
                            <w:b/>
                            <w:bCs/>
                            <w:highlight w:val="none"/>
                            <w:lang w:eastAsia="zh-CN"/>
                          </w:rPr>
                          <w:t>电子</w:t>
                        </w:r>
                        <w:r>
                          <w:rPr>
                            <w:rFonts w:hint="eastAsia"/>
                            <w:b/>
                            <w:bCs/>
                            <w:highlight w:val="none"/>
                          </w:rPr>
                          <w:t>平台</w:t>
                        </w:r>
                      </w:p>
                    </w:txbxContent>
                  </v:textbox>
                </v:rect>
                <v:rect id="1029" fillcolor="white" stroked="t" style="position:absolute;left:306705;top:744220;width:437515;height:1361440;z-index:4;mso-position-horizontal-relative:page;mso-position-vertical-relative:page;mso-width-relative:page;mso-height-relative:page;visibility:visible;">
                  <v:stroke joinstyle="miter"/>
                  <v:fill/>
                  <v:textbox>
                    <w:txbxContent>
                      <w:p>
                        <w:pPr>
                          <w:pStyle w:val="style0"/>
                          <w:jc w:val="center"/>
                          <w:rPr/>
                        </w:pPr>
                        <w:r>
                          <w:rPr>
                            <w:rFonts w:hint="eastAsia"/>
                          </w:rPr>
                          <w:t>平台门户网站</w:t>
                        </w:r>
                      </w:p>
                    </w:txbxContent>
                  </v:textbox>
                </v:rect>
                <v:rect id="1030" fillcolor="white" stroked="t" style="position:absolute;left:816610;top:744220;width:461644;height:1361440;z-index:5;mso-position-horizontal-relative:page;mso-position-vertical-relative:page;mso-width-relative:page;mso-height-relative:page;visibility:visible;">
                  <v:stroke joinstyle="miter"/>
                  <v:fill/>
                  <v:textbox>
                    <w:txbxContent>
                      <w:p>
                        <w:pPr>
                          <w:pStyle w:val="style0"/>
                          <w:jc w:val="center"/>
                          <w:rPr/>
                        </w:pPr>
                        <w:r>
                          <w:rPr>
                            <w:rFonts w:hint="eastAsia"/>
                          </w:rPr>
                          <w:t>工作人员网上办事系统</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31" type="#_x0000_t34" adj="10800," filled="f" style="position:absolute;left:1764665;top:-914400;width:415290;height:2897505;z-index:6;mso-position-horizontal-relative:page;mso-position-vertical-relative:page;mso-width-relative:page;mso-height-relative:page;visibility:visible;rotation:5898240fd;">
                  <v:stroke joinstyle="miter"/>
                  <v:fill/>
                </v:shape>
                <v:shape id="1032" type="#_x0000_t34" adj="10800," filled="f" style="position:absolute;left:2025649;top:-653415;width:415290;height:2375535;z-index:7;mso-position-horizontal-relative:page;mso-position-vertical-relative:page;mso-width-relative:page;mso-height-relative:page;visibility:visible;rotation:5898240fd;">
                  <v:stroke joinstyle="miter"/>
                  <v:fill/>
                </v:shape>
                <v:rect id="1033" fillcolor="white" stroked="t" style="position:absolute;left:1343660;top:744220;width:461645;height:1361440;z-index:8;mso-position-horizontal-relative:page;mso-position-vertical-relative:page;mso-width-relative:page;mso-height-relative:page;visibility:visible;">
                  <v:stroke joinstyle="miter"/>
                  <v:fill/>
                  <v:textbox>
                    <w:txbxContent>
                      <w:p>
                        <w:pPr>
                          <w:pStyle w:val="style0"/>
                          <w:jc w:val="center"/>
                          <w:rPr/>
                        </w:pPr>
                        <w:r>
                          <w:rPr>
                            <w:rFonts w:hint="eastAsia"/>
                          </w:rPr>
                          <w:t>代理机构网上办事系统</w:t>
                        </w:r>
                      </w:p>
                    </w:txbxContent>
                  </v:textbox>
                </v:rect>
                <v:rect id="1034" fillcolor="white" stroked="t" style="position:absolute;left:1865630;top:744220;width:461644;height:1361440;z-index:9;mso-position-horizontal-relative:page;mso-position-vertical-relative:page;mso-width-relative:page;mso-height-relative:page;visibility:visible;">
                  <v:stroke joinstyle="miter"/>
                  <v:fill/>
                  <v:textbox>
                    <w:txbxContent>
                      <w:p>
                        <w:pPr>
                          <w:pStyle w:val="style0"/>
                          <w:jc w:val="center"/>
                          <w:rPr/>
                        </w:pPr>
                        <w:r>
                          <w:rPr>
                            <w:rFonts w:hint="eastAsia"/>
                          </w:rPr>
                          <w:t>投标人网上办事系统</w:t>
                        </w:r>
                      </w:p>
                    </w:txbxContent>
                  </v:textbox>
                </v:rect>
                <v:rect id="1035" fillcolor="white" stroked="t" style="position:absolute;left:2399665;top:744220;width:460375;height:1361440;z-index:10;mso-position-horizontal-relative:page;mso-position-vertical-relative:page;mso-width-relative:page;mso-height-relative:page;visibility:visible;">
                  <v:stroke joinstyle="miter"/>
                  <v:fill/>
                  <v:textbox>
                    <w:txbxContent>
                      <w:p>
                        <w:pPr>
                          <w:pStyle w:val="style0"/>
                          <w:jc w:val="center"/>
                          <w:rPr/>
                        </w:pPr>
                        <w:r>
                          <w:rPr>
                            <w:rFonts w:hint="eastAsia"/>
                          </w:rPr>
                          <w:t>电子文件制作系统</w:t>
                        </w:r>
                      </w:p>
                    </w:txbxContent>
                  </v:textbox>
                </v:rect>
                <v:rect id="1036" fillcolor="white" stroked="t" style="position:absolute;left:2931795;top:744220;width:460374;height:1361440;z-index:11;mso-position-horizontal-relative:page;mso-position-vertical-relative:page;mso-width-relative:page;mso-height-relative:page;visibility:visible;">
                  <v:stroke joinstyle="miter"/>
                  <v:fill/>
                  <v:textbox>
                    <w:txbxContent>
                      <w:p>
                        <w:pPr>
                          <w:pStyle w:val="style0"/>
                          <w:jc w:val="center"/>
                          <w:rPr/>
                        </w:pPr>
                        <w:r>
                          <w:rPr>
                            <w:rFonts w:hint="eastAsia"/>
                          </w:rPr>
                          <w:t>网上开标评标(评审</w:t>
                        </w:r>
                        <w:r>
                          <w:t>)</w:t>
                        </w:r>
                        <w:r>
                          <w:rPr>
                            <w:rFonts w:hint="eastAsia"/>
                          </w:rPr>
                          <w:t>系统</w:t>
                        </w:r>
                      </w:p>
                    </w:txbxContent>
                  </v:textbox>
                </v:rect>
                <v:rect id="1037" fillcolor="white" stroked="t" style="position:absolute;left:3463290;top:744220;width:371475;height:1361440;z-index:12;mso-position-horizontal-relative:page;mso-position-vertical-relative:page;mso-width-relative:page;mso-height-relative:page;visibility:visible;">
                  <v:stroke joinstyle="miter"/>
                  <v:fill/>
                  <v:textbox>
                    <w:txbxContent>
                      <w:p>
                        <w:pPr>
                          <w:pStyle w:val="style0"/>
                          <w:jc w:val="center"/>
                          <w:rPr/>
                        </w:pPr>
                        <w:r>
                          <w:rPr>
                            <w:rFonts w:hint="eastAsia"/>
                          </w:rPr>
                          <w:t>电子竞价系统</w:t>
                        </w:r>
                      </w:p>
                    </w:txbxContent>
                  </v:textbox>
                </v:rect>
                <v:rect id="1038" fillcolor="white" stroked="t" style="position:absolute;left:3898900;top:744220;width:371475;height:1361440;z-index:13;mso-position-horizontal-relative:page;mso-position-vertical-relative:page;mso-width-relative:page;mso-height-relative:page;visibility:visible;">
                  <v:stroke joinstyle="miter"/>
                  <v:fill/>
                  <v:textbox>
                    <w:txbxContent>
                      <w:p>
                        <w:pPr>
                          <w:pStyle w:val="style0"/>
                          <w:jc w:val="center"/>
                          <w:rPr/>
                        </w:pPr>
                        <w:r>
                          <w:rPr>
                            <w:rFonts w:hint="eastAsia"/>
                          </w:rPr>
                          <w:t>资金服务系统</w:t>
                        </w:r>
                      </w:p>
                    </w:txbxContent>
                  </v:textbox>
                </v:rect>
                <v:rect id="1039" fillcolor="white" stroked="t" style="position:absolute;left:4341495;top:744220;width:466725;height:1361440;z-index:14;mso-position-horizontal-relative:page;mso-position-vertical-relative:page;mso-width-relative:page;mso-height-relative:page;visibility:visible;">
                  <v:stroke joinstyle="miter"/>
                  <v:fill/>
                  <v:textbox>
                    <w:txbxContent>
                      <w:p>
                        <w:pPr>
                          <w:pStyle w:val="style0"/>
                          <w:jc w:val="center"/>
                          <w:rPr/>
                        </w:pPr>
                        <w:r>
                          <w:rPr>
                            <w:rFonts w:hint="eastAsia"/>
                          </w:rPr>
                          <w:t>C</w:t>
                        </w:r>
                        <w:r>
                          <w:t>A</w:t>
                        </w:r>
                        <w:r>
                          <w:rPr>
                            <w:rFonts w:hint="eastAsia"/>
                          </w:rPr>
                          <w:t>证书发放服务系统</w:t>
                        </w:r>
                      </w:p>
                    </w:txbxContent>
                  </v:textbox>
                </v:rect>
                <v:rect id="1040" fillcolor="white" stroked="t" style="position:absolute;left:4859020;top:744220;width:400050;height:1361440;z-index:15;mso-position-horizontal-relative:page;mso-position-vertical-relative:page;mso-width-relative:page;mso-height-relative:page;visibility:visible;">
                  <v:stroke joinstyle="miter"/>
                  <v:fill/>
                  <v:textbox>
                    <w:txbxContent>
                      <w:p>
                        <w:pPr>
                          <w:pStyle w:val="style0"/>
                          <w:jc w:val="center"/>
                          <w:rPr/>
                        </w:pPr>
                        <w:r>
                          <w:rPr>
                            <w:rFonts w:hint="eastAsia"/>
                          </w:rPr>
                          <w:t>新点标证通</w:t>
                        </w:r>
                      </w:p>
                    </w:txbxContent>
                  </v:textbox>
                </v:rect>
                <v:rect id="1041" fillcolor="white" stroked="t" style="position:absolute;left:5338445;top:744220;width:400050;height:1361440;z-index:16;mso-position-horizontal-relative:page;mso-position-vertical-relative:page;mso-width-relative:page;mso-height-relative:page;visibility:visible;">
                  <v:stroke joinstyle="miter"/>
                  <v:fill/>
                  <v:textbox>
                    <w:txbxContent>
                      <w:p>
                        <w:pPr>
                          <w:pStyle w:val="style0"/>
                          <w:jc w:val="center"/>
                          <w:rPr/>
                        </w:pPr>
                        <w:r>
                          <w:rPr>
                            <w:rFonts w:hint="eastAsia"/>
                          </w:rPr>
                          <w:t>智能客服系统</w:t>
                        </w:r>
                      </w:p>
                    </w:txbxContent>
                  </v:textbox>
                </v:rect>
                <v:rect id="1042" fillcolor="white" stroked="t" style="position:absolute;left:5795645;top:744220;width:466725;height:1361440;z-index:17;mso-position-horizontal-relative:page;mso-position-vertical-relative:page;mso-width-relative:page;mso-height-relative:page;visibility:visible;">
                  <v:stroke joinstyle="miter"/>
                  <v:fill/>
                  <v:textbox>
                    <w:txbxContent>
                      <w:p>
                        <w:pPr>
                          <w:pStyle w:val="style0"/>
                          <w:jc w:val="center"/>
                          <w:rPr/>
                        </w:pPr>
                        <w:r>
                          <w:rPr>
                            <w:rFonts w:hint="eastAsia"/>
                          </w:rPr>
                          <w:t>系统集成接口设计</w:t>
                        </w:r>
                      </w:p>
                    </w:txbxContent>
                  </v:textbox>
                </v:rect>
                <v:shape id="1043" type="#_x0000_t34" adj="10800," filled="f" style="position:absolute;left:2289175;top:-389890;width:415289;height:1848485;z-index:18;mso-position-horizontal-relative:page;mso-position-vertical-relative:page;mso-width-relative:page;mso-height-relative:page;visibility:visible;rotation:5898240fd;">
                  <v:stroke joinstyle="miter"/>
                  <v:fill/>
                </v:shape>
                <v:shape id="1044" type="#_x0000_t34" adj="10800," filled="f" style="position:absolute;left:2550160;top:-128905;width:415290;height:1326515;z-index:19;mso-position-horizontal-relative:page;mso-position-vertical-relative:page;mso-width-relative:page;mso-height-relative:page;visibility:visible;rotation:5898240fd;">
                  <v:stroke joinstyle="miter"/>
                  <v:fill/>
                </v:shape>
                <v:shape id="1045" type="#_x0000_t34" adj="10800," filled="f" style="position:absolute;left:2816860;top:137795;width:415290;height:793115;z-index:20;mso-position-horizontal-relative:page;mso-position-vertical-relative:page;mso-width-relative:page;mso-height-relative:page;visibility:visible;rotation:5898240fd;">
                  <v:stroke joinstyle="miter"/>
                  <v:fill/>
                </v:shape>
                <v:shape id="1046" type="#_x0000_t34" adj="10800," filled="f" style="position:absolute;left:3082925;top:403860;width:415290;height:260985;z-index:21;mso-position-horizontal-relative:page;mso-position-vertical-relative:page;mso-width-relative:page;mso-height-relative:page;visibility:visible;rotation:5898240fd;">
                  <v:stroke joinstyle="miter"/>
                  <v:fill/>
                </v:shape>
                <v:shape id="1047" type="#_x0000_t34" adj="10800," filled="f" style="position:absolute;left:3328670;top:423545;width:415290;height:226059;z-index:22;mso-position-horizontal-relative:page;mso-position-vertical-relative:page;mso-width-relative:page;mso-height-relative:page;visibility:visible;rotation:5898240fd;flip:x;">
                  <v:stroke joinstyle="miter"/>
                  <v:fill/>
                </v:shape>
                <v:shape id="1048" type="#_x0000_t34" adj="10800," filled="f" style="position:absolute;left:3546475;top:205740;width:415290;height:661670;z-index:23;mso-position-horizontal-relative:page;mso-position-vertical-relative:page;mso-width-relative:page;mso-height-relative:page;visibility:visible;rotation:5898240fd;flip:x;">
                  <v:stroke joinstyle="miter"/>
                  <v:fill/>
                </v:shape>
                <v:shape id="1049" type="#_x0000_t34" adj="10800," filled="f" style="position:absolute;left:3791585;top:-39370;width:415289;height:1151890;z-index:24;mso-position-horizontal-relative:page;mso-position-vertical-relative:page;mso-width-relative:page;mso-height-relative:page;visibility:visible;rotation:5898240fd;flip:x;">
                  <v:stroke joinstyle="miter"/>
                  <v:fill/>
                </v:shape>
                <v:shape id="1050" type="#_x0000_t34" adj="10800," filled="f" style="position:absolute;left:4033520;top:-281305;width:415290;height:1635760;z-index:25;mso-position-horizontal-relative:page;mso-position-vertical-relative:page;mso-width-relative:page;mso-height-relative:page;visibility:visible;rotation:5898240fd;flip:x;">
                  <v:stroke joinstyle="miter"/>
                  <v:fill/>
                </v:shape>
                <v:shape id="1051" type="#_x0000_t34" adj="10800," filled="f" style="position:absolute;left:4271010;top:-523240;width:415290;height:2115185;z-index:26;mso-position-horizontal-relative:page;mso-position-vertical-relative:page;mso-width-relative:page;mso-height-relative:page;visibility:visible;rotation:5898240fd;flip:x;">
                  <v:stroke joinstyle="miter"/>
                  <v:fill/>
                </v:shape>
                <v:shape id="1052" type="#_x0000_t34" adj="10800," filled="f" style="position:absolute;left:4518660;top:-766445;width:415289;height:2606040;z-index:27;mso-position-horizontal-relative:page;mso-position-vertical-relative:page;mso-width-relative:page;mso-height-relative:page;visibility:visible;rotation:5898240fd;flip:x;">
                  <v:stroke joinstyle="miter"/>
                  <v:fill/>
                </v:shape>
                <w10:wrap type="square"/>
                <v:fill/>
              </v:group>
            </w:pict>
          </mc:Fallback>
        </mc:AlternateConten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2、平台提供从采购需求申请审批、计划安排、采购项目立项（采购方案）审批、招标/采购文件编制、招标/采购公告发布、招标/采购文件网上支付及下载、投标/响应文件编制、网上投标/响应，到网上开标/开启响应文件、电子评标/评审、定标/确定成交直至合同签订、交易过程归档的全流程电子化、程序化、规范化、智能化管理。</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3、依据广东省财政厅关于印发《广东省政府集中采购目录及标准（2020 年版）》的通知：</w:t>
      </w:r>
    </w:p>
    <w:p>
      <w:pPr>
        <w:pStyle w:val="style0"/>
        <w:keepNext w:val="false"/>
        <w:keepLines w:val="false"/>
        <w:widowControl/>
        <w:suppressLineNumbers w:val="false"/>
        <w:jc w:val="left"/>
        <w:rPr/>
      </w:pPr>
      <w:r>
        <w:rPr>
          <w:rFonts w:ascii="微软雅黑" w:cs="微软雅黑" w:eastAsia="微软雅黑" w:hAnsi="微软雅黑"/>
          <w:b/>
          <w:bCs/>
          <w:color w:val="000000"/>
          <w:kern w:val="0"/>
          <w:sz w:val="24"/>
          <w:szCs w:val="24"/>
          <w:lang w:val="en-US" w:eastAsia="zh-CN"/>
        </w:rPr>
        <w:t xml:space="preserve">（一）货物和服务类 </w:t>
      </w:r>
    </w:p>
    <w:p>
      <w:pPr>
        <w:pStyle w:val="style0"/>
        <w:keepNext w:val="false"/>
        <w:keepLines w:val="false"/>
        <w:widowControl/>
        <w:suppressLineNumbers w:val="false"/>
        <w:jc w:val="left"/>
        <w:rPr/>
      </w:pPr>
      <w:r>
        <w:rPr>
          <w:rFonts w:ascii="微软雅黑" w:cs="微软雅黑" w:eastAsia="微软雅黑" w:hAnsi="微软雅黑" w:hint="eastAsia"/>
          <w:color w:val="000000"/>
          <w:kern w:val="0"/>
          <w:sz w:val="24"/>
          <w:szCs w:val="24"/>
          <w:lang w:val="en-US" w:eastAsia="zh-CN"/>
        </w:rPr>
        <w:t xml:space="preserve">单项或批量金额 400 万元以上的货物和服务项目，应采用公开招标方式。 </w:t>
      </w:r>
    </w:p>
    <w:p>
      <w:pPr>
        <w:pStyle w:val="style0"/>
        <w:keepNext w:val="false"/>
        <w:keepLines w:val="false"/>
        <w:widowControl/>
        <w:suppressLineNumbers w:val="false"/>
        <w:jc w:val="left"/>
        <w:rPr/>
      </w:pPr>
      <w:r>
        <w:rPr>
          <w:rFonts w:ascii="微软雅黑" w:cs="微软雅黑" w:eastAsia="微软雅黑" w:hAnsi="微软雅黑" w:hint="eastAsia"/>
          <w:b/>
          <w:bCs/>
          <w:color w:val="000000"/>
          <w:kern w:val="0"/>
          <w:sz w:val="24"/>
          <w:szCs w:val="24"/>
          <w:lang w:val="en-US" w:eastAsia="zh-CN"/>
        </w:rPr>
        <w:t xml:space="preserve">（二）工程类 </w:t>
      </w:r>
    </w:p>
    <w:p>
      <w:pPr>
        <w:pStyle w:val="style0"/>
        <w:keepNext w:val="false"/>
        <w:keepLines w:val="false"/>
        <w:widowControl/>
        <w:suppressLineNumbers w:val="false"/>
        <w:jc w:val="left"/>
        <w:rPr/>
      </w:pPr>
      <w:r>
        <w:rPr>
          <w:rFonts w:ascii="微软雅黑" w:cs="微软雅黑" w:eastAsia="微软雅黑" w:hAnsi="微软雅黑" w:hint="eastAsia"/>
          <w:color w:val="000000"/>
          <w:kern w:val="0"/>
          <w:sz w:val="24"/>
          <w:szCs w:val="24"/>
          <w:lang w:val="en-US" w:eastAsia="zh-CN"/>
        </w:rPr>
        <w:t xml:space="preserve">施工单项合同估算价 400 万元以上的工程项目、与工程建设有关的重要设备、材料等货物项目 200 万元以上的以及与工程建设有关的勘察、设计、监理 </w:t>
      </w:r>
    </w:p>
    <w:p>
      <w:pPr>
        <w:pStyle w:val="style0"/>
        <w:keepNext w:val="false"/>
        <w:keepLines w:val="false"/>
        <w:widowControl/>
        <w:suppressLineNumbers w:val="false"/>
        <w:jc w:val="left"/>
        <w:rPr>
          <w:rFonts w:eastAsia="仿宋" w:hint="default"/>
          <w:lang w:val="en-US" w:eastAsia="zh-CN"/>
        </w:rPr>
      </w:pPr>
      <w:r>
        <w:rPr>
          <w:rFonts w:ascii="微软雅黑" w:cs="微软雅黑" w:eastAsia="微软雅黑" w:hAnsi="微软雅黑" w:hint="eastAsia"/>
          <w:color w:val="000000"/>
          <w:kern w:val="0"/>
          <w:sz w:val="24"/>
          <w:szCs w:val="24"/>
          <w:lang w:val="en-US" w:eastAsia="zh-CN"/>
        </w:rPr>
        <w:t>等服务项目 100 万元以上的，必须招标。</w:t>
      </w:r>
    </w:p>
    <w:bookmarkStart w:id="0" w:name="_GoBack"/>
    <w:bookmarkEnd w:id="0"/>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highlight w:val="none"/>
          <w:lang w:val="en-US" w:eastAsia="zh-CN"/>
        </w:rPr>
      </w:pPr>
      <w:r>
        <w:rPr>
          <w:rFonts w:ascii="微软雅黑" w:cs="微软雅黑" w:eastAsia="微软雅黑" w:hAnsi="微软雅黑" w:hint="eastAsia"/>
          <w:color w:val="000000"/>
          <w:kern w:val="0"/>
          <w:sz w:val="24"/>
          <w:szCs w:val="24"/>
          <w:highlight w:val="none"/>
          <w:lang w:val="en-US" w:eastAsia="zh-CN"/>
        </w:rPr>
        <w:t>梅州市限额以下招标采购电子平台限额以下招标采购平台据于非必须招标，非集采目录内及限额以下的工程、货物、服务类等自行采购、分散采购提供招标方式（公开招标、邀请招标）及非招标方式（谈判采购、磋商采购、询比采购、竞价采购、直接采购、单一来源、框架协议）为梅州市自行采购、分散采购提统一的电子交易平台。优化招投标的工作，为我市的招标代理、招标人提供先进的技术支撑，做好数据库建设和数据同步推送。</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b/>
          <w:bCs/>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w:t>
      </w:r>
      <w:r>
        <w:rPr>
          <w:rFonts w:ascii="微软雅黑" w:cs="微软雅黑" w:eastAsia="微软雅黑" w:hAnsi="微软雅黑" w:hint="eastAsia"/>
          <w:b/>
          <w:bCs/>
          <w:color w:val="000000"/>
          <w:kern w:val="0"/>
          <w:sz w:val="24"/>
          <w:szCs w:val="24"/>
          <w:lang w:val="en-US" w:eastAsia="zh-CN"/>
        </w:rPr>
        <w:t>梅州市限额以下招标采购电子平台”业务架构图：</w:t>
      </w:r>
    </w:p>
    <w:p>
      <w:pPr>
        <w:pStyle w:val="style0"/>
        <w:ind w:left="420" w:hanging="420" w:hangingChars="200"/>
        <w:rPr/>
      </w:pPr>
      <w:r>
        <w:rPr/>
        <w:drawing>
          <wp:inline distL="0" distT="0" distB="0" distR="0">
            <wp:extent cx="5273675" cy="2808605"/>
            <wp:effectExtent l="0" t="0" r="0" b="0"/>
            <wp:docPr id="1053" name="图片 1" descr="图片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273675" cy="2808605"/>
                    </a:xfrm>
                    <a:prstGeom prst="rect"/>
                    <a:ln>
                      <a:noFill/>
                    </a:ln>
                  </pic:spPr>
                </pic:pic>
              </a:graphicData>
            </a:graphic>
          </wp:inline>
        </w:drawing>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支持单位“新点电子交易平台”已完成与中国招标投标公共服务平台的对接，通过统一的数据交换服务将当地招标采购项目的招标公告、中标公示等交易数据推送到中国招标投标公共服务平台，实现数据同步推送。</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本平台可与当地公共资源交易系统对接接口，通过统一的数据交换服务，实现与当地公共资源交易系统基础数据的互联互通、资源共享。</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highlight w:val="none"/>
          <w:lang w:val="en-US" w:eastAsia="zh-CN"/>
        </w:rPr>
      </w:pPr>
      <w:r>
        <w:rPr>
          <w:rFonts w:ascii="微软雅黑" w:cs="微软雅黑" w:eastAsia="微软雅黑" w:hAnsi="微软雅黑" w:hint="eastAsia"/>
          <w:color w:val="000000"/>
          <w:kern w:val="0"/>
          <w:sz w:val="24"/>
          <w:szCs w:val="24"/>
          <w:lang w:val="en-US" w:eastAsia="zh-CN"/>
        </w:rPr>
        <w:t>本平台中的金融服务支撑系统与实现与金融机构内部系统的对接，通过统一的数据交换服务，实现办理事项进度数据同步获取、金融业务结果数据获取、单点登录等等，另</w:t>
      </w:r>
      <w:r>
        <w:rPr>
          <w:rFonts w:ascii="微软雅黑" w:cs="微软雅黑" w:eastAsia="微软雅黑" w:hAnsi="微软雅黑" w:hint="eastAsia"/>
          <w:color w:val="000000"/>
          <w:kern w:val="0"/>
          <w:sz w:val="24"/>
          <w:szCs w:val="24"/>
          <w:highlight w:val="none"/>
          <w:lang w:val="en-US" w:eastAsia="zh-CN"/>
        </w:rPr>
        <w:t>外可以提供快捷安全的保证金缴纳等金融服务。</w:t>
      </w:r>
    </w:p>
    <w:p>
      <w:pPr>
        <w:pStyle w:val="style20"/>
        <w:rPr>
          <w:rFonts w:ascii="微软雅黑" w:cs="微软雅黑" w:eastAsia="微软雅黑" w:hAnsi="微软雅黑" w:hint="eastAsia"/>
          <w:color w:val="000000"/>
          <w:kern w:val="0"/>
          <w:sz w:val="24"/>
          <w:szCs w:val="24"/>
          <w:highlight w:val="none"/>
          <w:lang w:val="en-US" w:eastAsia="zh-CN"/>
        </w:rPr>
      </w:pPr>
    </w:p>
    <w:p>
      <w:pPr>
        <w:pStyle w:val="style0"/>
        <w:rPr>
          <w:rFonts w:hint="eastAsia"/>
          <w:highlight w:val="none"/>
        </w:rPr>
      </w:pPr>
    </w:p>
    <w:bookmarkStart w:id="1" w:name="_Toc532998946"/>
    <w:p>
      <w:pPr>
        <w:pStyle w:val="style0"/>
        <w:keepNext w:val="false"/>
        <w:keepLines w:val="false"/>
        <w:widowControl w:val="false"/>
        <w:suppressLineNumbers w:val="false"/>
        <w:spacing w:before="0" w:beforeAutospacing="false" w:after="0" w:afterAutospacing="false" w:lineRule="auto" w:line="360"/>
        <w:ind w:left="0" w:right="0"/>
        <w:jc w:val="both"/>
        <w:outlineLvl w:val="0"/>
        <w:rPr>
          <w:rFonts w:ascii="黑体" w:cs="黑体" w:eastAsia="黑体" w:hAnsi="宋体" w:hint="eastAsia"/>
          <w:kern w:val="2"/>
          <w:sz w:val="32"/>
          <w:szCs w:val="32"/>
          <w:highlight w:val="none"/>
          <w:lang w:val="en-US" w:eastAsia="zh-CN"/>
        </w:rPr>
      </w:pPr>
      <w:r>
        <w:rPr>
          <w:rFonts w:ascii="黑体" w:cs="黑体" w:eastAsia="黑体" w:hAnsi="宋体" w:hint="eastAsia"/>
          <w:kern w:val="2"/>
          <w:sz w:val="32"/>
          <w:szCs w:val="32"/>
          <w:highlight w:val="none"/>
          <w:lang w:val="en-US" w:eastAsia="zh-CN"/>
        </w:rPr>
        <w:t>四、建设</w:t>
      </w:r>
      <w:bookmarkEnd w:id="1"/>
      <w:r>
        <w:rPr>
          <w:rFonts w:ascii="黑体" w:cs="黑体" w:eastAsia="黑体" w:hAnsi="宋体" w:hint="eastAsia"/>
          <w:kern w:val="2"/>
          <w:sz w:val="32"/>
          <w:szCs w:val="32"/>
          <w:highlight w:val="none"/>
          <w:lang w:val="en-US" w:eastAsia="zh-CN"/>
        </w:rPr>
        <w:t>效益</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highlight w:val="none"/>
          <w:lang w:val="en-US" w:eastAsia="zh-CN"/>
        </w:rPr>
      </w:pPr>
      <w:r>
        <w:rPr>
          <w:rFonts w:ascii="微软雅黑" w:cs="微软雅黑" w:eastAsia="微软雅黑" w:hAnsi="微软雅黑" w:hint="eastAsia"/>
          <w:color w:val="000000"/>
          <w:kern w:val="0"/>
          <w:sz w:val="24"/>
          <w:szCs w:val="24"/>
          <w:highlight w:val="none"/>
          <w:lang w:val="en-US" w:eastAsia="zh-CN"/>
        </w:rPr>
        <w:t>梅州市限额以下招投标采购电子平台的建设是为了更好发挥招标投标制度在现代市场体系中的作用，对降低制度性交易成本、</w:t>
      </w:r>
      <w:r>
        <w:rPr>
          <w:rFonts w:ascii="微软雅黑" w:cs="微软雅黑" w:eastAsia="微软雅黑" w:hAnsi="微软雅黑" w:hint="eastAsia"/>
          <w:color w:val="000000"/>
          <w:kern w:val="0"/>
          <w:sz w:val="24"/>
          <w:szCs w:val="24"/>
          <w:lang w:val="en-US" w:eastAsia="zh-CN"/>
        </w:rPr>
        <w:t>提高资源配置质量效率、推动政府职能转变和党风廉政建设发挥重要作用，成为招标领域放管服改革的重要帮手。</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highlight w:val="none"/>
          <w:lang w:val="en-US" w:eastAsia="zh-CN"/>
        </w:rPr>
        <w:t>1.规范限额以下交易项目，便于管理：通过系统的建设，主要能够实现我市</w:t>
      </w:r>
      <w:r>
        <w:rPr>
          <w:rFonts w:ascii="微软雅黑" w:cs="微软雅黑" w:eastAsia="微软雅黑" w:hAnsi="微软雅黑" w:hint="eastAsia"/>
          <w:color w:val="000000"/>
          <w:kern w:val="0"/>
          <w:sz w:val="24"/>
          <w:szCs w:val="24"/>
          <w:lang w:val="en-US" w:eastAsia="zh-CN"/>
        </w:rPr>
        <w:t>限额以下招标采购业务、国资采购业务业务的全流程电子化，为各类交易主体提供优质的服务。</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 xml:space="preserve">2.深化落实“放管服”：有利于持续深化招标投标领域“放管服”改革，更好发挥招标投标竞争择优的作用，促进经济社会持续健康发展； </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3.减轻企业负担：有利于扩大市场主体特别是民间投资者的自主权，减轻企业负担，激发市场活力和创造力；</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4.提高采购效率：有利于提高工作效率、提高招标采购质量效益、降低工作人员承担的风险。</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5．降低制度交易成本：有利于降低制度交易成本，提高资源配置质量效率。</w:t>
      </w:r>
    </w:p>
    <w:p>
      <w:pPr>
        <w:pStyle w:val="style20"/>
        <w:rPr>
          <w:rFonts w:hint="eastAsia"/>
          <w:lang w:val="en-US" w:eastAsia="zh-CN"/>
        </w:rPr>
      </w:pPr>
    </w:p>
    <w:p>
      <w:pPr>
        <w:pStyle w:val="style0"/>
        <w:keepNext w:val="false"/>
        <w:keepLines w:val="false"/>
        <w:widowControl w:val="false"/>
        <w:suppressLineNumbers w:val="false"/>
        <w:spacing w:before="0" w:beforeAutospacing="false" w:after="0" w:afterAutospacing="false" w:lineRule="auto" w:line="360"/>
        <w:ind w:left="0" w:right="0"/>
        <w:jc w:val="both"/>
        <w:outlineLvl w:val="0"/>
        <w:rPr>
          <w:rFonts w:ascii="黑体" w:cs="黑体" w:eastAsia="黑体" w:hAnsi="宋体" w:hint="default"/>
          <w:kern w:val="2"/>
          <w:sz w:val="32"/>
          <w:szCs w:val="32"/>
          <w:lang w:val="en-US" w:eastAsia="zh-CN"/>
        </w:rPr>
      </w:pPr>
      <w:r>
        <w:rPr>
          <w:rFonts w:ascii="黑体" w:cs="黑体" w:eastAsia="黑体" w:hAnsi="宋体" w:hint="eastAsia"/>
          <w:kern w:val="2"/>
          <w:sz w:val="32"/>
          <w:szCs w:val="32"/>
          <w:lang w:val="en-US" w:eastAsia="zh-CN"/>
        </w:rPr>
        <w:t>五、平台便捷化服务</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1、标证通平台</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未来，可通过标证通取代USBkey介质，兼容各CA证书，可同时持有多张数字证书，摒弃驱动的安装，实现通过手机对系统实现登录、签名、签章、加密、解密操作。打破了原来使用USBKey形式CA锁登录、签名签章、加解密的固定思路，有利于推动信息化系统的创新改革。</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2、金融服务支撑平台</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本着为公共资源交易主体“降本”为路径，顺应互联网金融的发展趋势，致力于通过金融体系的创新来实现普惠金融，让每个企业平等获得金融服务机会，因此按照“政府引导市场、市场公开交易、交易规范运作、运作统一监督”的要求，未来可建立科学、合理、高效的“金融服务支撑平台”，构建平等金融服务的机会，让所有企业有机会参与经济发展，进一步提升普惠金融的服务能力和水平。</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r>
        <w:rPr>
          <w:rFonts w:ascii="微软雅黑" w:cs="微软雅黑" w:eastAsia="微软雅黑" w:hAnsi="微软雅黑" w:hint="eastAsia"/>
          <w:color w:val="000000"/>
          <w:kern w:val="0"/>
          <w:sz w:val="24"/>
          <w:szCs w:val="24"/>
          <w:lang w:val="en-US" w:eastAsia="zh-CN"/>
        </w:rPr>
        <w:t>同时融合区块链在公共资源交易过程中的金融服务，推动区块链和实体经济深度融合，解决中小企业贷款融资难、银行风控难、部门监管难等问题。利用区块链技术促进公共资源主体信息、资金、征信等方面的数互联互通，为投标人提供更加智能、更加便捷、更加优质的金融服务。</w:t>
      </w:r>
    </w:p>
    <w:p>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480" w:firstLineChars="200"/>
        <w:jc w:val="left"/>
        <w:textAlignment w:val="auto"/>
        <w:rPr>
          <w:rFonts w:ascii="微软雅黑" w:cs="微软雅黑" w:eastAsia="微软雅黑" w:hAnsi="微软雅黑" w:hint="eastAsia"/>
          <w:color w:val="000000"/>
          <w:kern w:val="0"/>
          <w:sz w:val="24"/>
          <w:szCs w:val="24"/>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Cambria">
    <w:altName w:val="Cambria"/>
    <w:panose1 w:val="02040503050004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altName w:val="微软雅黑"/>
    <w:panose1 w:val="020b0503020002020204"/>
    <w:charset w:val="86"/>
    <w:family w:val="auto"/>
    <w:pitch w:val="default"/>
    <w:sig w:usb0="80000287" w:usb1="280F3C52" w:usb2="00000016" w:usb3="00000000" w:csb0="0004001F" w:csb1="00000000"/>
  </w:font>
  <w:font w:name="仿宋">
    <w:altName w:val="仿宋"/>
    <w:panose1 w:val="02010609060001010101"/>
    <w:charset w:val="86"/>
    <w:family w:val="modern"/>
    <w:pitch w:val="default"/>
    <w:sig w:usb0="800002BF" w:usb1="38CF7CFA" w:usb2="00000016" w:usb3="00000000" w:csb0="00040001" w:csb1="00000000"/>
  </w:font>
  <w:font w:name="Segoe Print">
    <w:altName w:val="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start w:val="1"/>
      <w:numFmt w:val="chineseCountingThousand"/>
      <w:pStyle w:val="style1"/>
      <w:suff w:val="nothing"/>
      <w:lvlText w:val="%1、"/>
      <w:lvlJc w:val="left"/>
      <w:pPr>
        <w:ind w:left="425" w:hanging="425"/>
      </w:pPr>
      <w:rPr>
        <w:rFonts w:hint="eastAsia"/>
      </w:rPr>
    </w:lvl>
    <w:lvl w:ilvl="1">
      <w:start w:val="1"/>
      <w:numFmt w:val="decimal"/>
      <w:pStyle w:val="style2"/>
      <w:isLgl/>
      <w:suff w:val="nothing"/>
      <w:lvlText w:val="%1.%2、"/>
      <w:lvlJc w:val="left"/>
      <w:pPr>
        <w:ind w:left="567" w:hanging="567"/>
      </w:pPr>
      <w:rPr>
        <w:rFonts w:ascii="Arial" w:cs="Arial" w:hAnsi="Arial" w:hint="default"/>
      </w:rPr>
    </w:lvl>
    <w:lvl w:ilvl="2">
      <w:start w:val="1"/>
      <w:numFmt w:val="decimal"/>
      <w:pStyle w:val="style3"/>
      <w:isLgl/>
      <w:suff w:val="nothing"/>
      <w:lvlText w:val="%1.%2.%3、"/>
      <w:lvlJc w:val="left"/>
      <w:pPr>
        <w:ind w:left="1069" w:hanging="1069"/>
      </w:pPr>
      <w:rPr>
        <w:rFonts w:ascii="Arial" w:cs="Arial" w:hAnsi="Arial" w:hint="default"/>
      </w:rPr>
    </w:lvl>
    <w:lvl w:ilvl="3">
      <w:start w:val="1"/>
      <w:numFmt w:val="decimal"/>
      <w:pStyle w:val="style4"/>
      <w:isLgl/>
      <w:suff w:val="nothing"/>
      <w:lvlText w:val="%1.%2.%3.%4、"/>
      <w:lvlJc w:val="left"/>
      <w:pPr>
        <w:ind w:left="851" w:hanging="851"/>
      </w:pPr>
      <w:rPr>
        <w:rFonts w:ascii="Arial" w:cs="Arial" w:hAnsi="Arial" w:hint="default"/>
        <w:sz w:val="24"/>
        <w:szCs w:val="24"/>
      </w:rPr>
    </w:lvl>
    <w:lvl w:ilvl="4">
      <w:start w:val="1"/>
      <w:numFmt w:val="decimal"/>
      <w:pStyle w:val="style5"/>
      <w:isLgl/>
      <w:suff w:val="nothing"/>
      <w:lvlText w:val="%1.%2.%3.%4.%5、"/>
      <w:lvlJc w:val="left"/>
      <w:pPr>
        <w:ind w:left="992" w:hanging="992"/>
      </w:pPr>
      <w:rPr>
        <w:rFonts w:hint="eastAsia"/>
      </w:rPr>
    </w:lvl>
    <w:lvl w:ilvl="5">
      <w:start w:val="1"/>
      <w:numFmt w:val="decimal"/>
      <w:pStyle w:val="style6"/>
      <w:isLgl/>
      <w:suff w:val="nothing"/>
      <w:lvlText w:val="%1.%2.%3.%4.%5.%6、"/>
      <w:lvlJc w:val="left"/>
      <w:pPr>
        <w:ind w:left="1134" w:hanging="1134"/>
      </w:pPr>
      <w:rPr>
        <w:rFonts w:hint="eastAsia"/>
      </w:rPr>
    </w:lvl>
    <w:lvl w:ilvl="6">
      <w:start w:val="1"/>
      <w:numFmt w:val="decimal"/>
      <w:isLgl/>
      <w:lvlText w:val="%1.%2.%3.%4.%5.%6.%7"/>
      <w:lvlJc w:val="left"/>
      <w:pPr>
        <w:tabs>
          <w:tab w:val="left" w:leader="none" w:pos="1800"/>
        </w:tabs>
        <w:ind w:left="1276" w:hanging="1276"/>
      </w:pPr>
      <w:rPr>
        <w:rFonts w:hint="eastAsia"/>
      </w:rPr>
    </w:lvl>
    <w:lvl w:ilvl="7">
      <w:start w:val="1"/>
      <w:numFmt w:val="decimal"/>
      <w:isLgl/>
      <w:lvlText w:val="%1.%2.%3.%4.%5.%6.%7.%8"/>
      <w:lvlJc w:val="left"/>
      <w:pPr>
        <w:tabs>
          <w:tab w:val="left" w:leader="none" w:pos="1800"/>
        </w:tabs>
        <w:ind w:left="1418" w:hanging="1418"/>
      </w:pPr>
      <w:rPr>
        <w:rFonts w:hint="eastAsia"/>
      </w:rPr>
    </w:lvl>
    <w:lvl w:ilvl="8">
      <w:start w:val="1"/>
      <w:numFmt w:val="decimal"/>
      <w:isLgl/>
      <w:lvlText w:val="%1.%2.%3.%4.%5.%6.%7.%8.%9"/>
      <w:lvlJc w:val="left"/>
      <w:pPr>
        <w:tabs>
          <w:tab w:val="left" w:leader="none" w:pos="2160"/>
        </w:tabs>
        <w:ind w:left="1559" w:hanging="1559"/>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20"/>
    <w:qFormat/>
    <w:uiPriority w:val="0"/>
    <w:pPr>
      <w:widowControl w:val="false"/>
      <w:jc w:val="both"/>
    </w:pPr>
    <w:rPr>
      <w:rFonts w:ascii="Calibri" w:cs="宋体" w:eastAsia="宋体" w:hAnsi="Calibri"/>
      <w:kern w:val="2"/>
      <w:sz w:val="21"/>
      <w:szCs w:val="22"/>
      <w:lang w:val="en-US" w:bidi="ar-SA" w:eastAsia="zh-CN"/>
    </w:rPr>
  </w:style>
  <w:style w:type="paragraph" w:styleId="style1">
    <w:name w:val="heading 1"/>
    <w:basedOn w:val="style0"/>
    <w:next w:val="style0"/>
    <w:link w:val="style4100"/>
    <w:qFormat/>
    <w:uiPriority w:val="0"/>
    <w:pPr>
      <w:keepNext/>
      <w:keepLines/>
      <w:numPr>
        <w:ilvl w:val="0"/>
        <w:numId w:val="1"/>
      </w:numPr>
      <w:spacing w:before="120" w:after="120" w:lineRule="auto" w:line="360"/>
      <w:outlineLvl w:val="0"/>
    </w:pPr>
    <w:rPr>
      <w:rFonts w:ascii="Times New Roman" w:cs="Times New Roman" w:eastAsia="黑体" w:hAnsi="Times New Roman"/>
      <w:b/>
      <w:bCs/>
      <w:kern w:val="44"/>
      <w:sz w:val="32"/>
      <w:szCs w:val="28"/>
    </w:rPr>
  </w:style>
  <w:style w:type="paragraph" w:styleId="style2">
    <w:name w:val="heading 2"/>
    <w:basedOn w:val="style0"/>
    <w:next w:val="style0"/>
    <w:link w:val="style4101"/>
    <w:qFormat/>
    <w:uiPriority w:val="0"/>
    <w:pPr>
      <w:keepNext/>
      <w:keepLines/>
      <w:numPr>
        <w:ilvl w:val="1"/>
        <w:numId w:val="1"/>
      </w:numPr>
      <w:spacing w:before="120" w:after="120" w:lineRule="auto" w:line="360"/>
      <w:outlineLvl w:val="1"/>
    </w:pPr>
    <w:rPr>
      <w:rFonts w:ascii="Times New Roman" w:cs="Times New Roman" w:eastAsia="宋体" w:hAnsi="Times New Roman"/>
      <w:b/>
      <w:bCs/>
      <w:sz w:val="30"/>
      <w:szCs w:val="32"/>
    </w:rPr>
  </w:style>
  <w:style w:type="paragraph" w:styleId="style3">
    <w:name w:val="heading 3"/>
    <w:basedOn w:val="style0"/>
    <w:next w:val="style0"/>
    <w:link w:val="style4102"/>
    <w:qFormat/>
    <w:uiPriority w:val="0"/>
    <w:pPr>
      <w:keepNext/>
      <w:keepLines/>
      <w:numPr>
        <w:ilvl w:val="2"/>
        <w:numId w:val="1"/>
      </w:numPr>
      <w:spacing w:before="120" w:after="120" w:lineRule="auto" w:line="360"/>
      <w:outlineLvl w:val="2"/>
    </w:pPr>
    <w:rPr>
      <w:rFonts w:ascii="Times New Roman" w:cs="Times New Roman" w:eastAsia="宋体" w:hAnsi="Times New Roman"/>
      <w:b/>
      <w:bCs/>
      <w:sz w:val="28"/>
      <w:szCs w:val="18"/>
    </w:rPr>
  </w:style>
  <w:style w:type="paragraph" w:styleId="style4">
    <w:name w:val="heading 4"/>
    <w:basedOn w:val="style0"/>
    <w:next w:val="style0"/>
    <w:link w:val="style4103"/>
    <w:qFormat/>
    <w:uiPriority w:val="0"/>
    <w:pPr>
      <w:keepNext/>
      <w:keepLines/>
      <w:numPr>
        <w:ilvl w:val="3"/>
        <w:numId w:val="1"/>
      </w:numPr>
      <w:tabs>
        <w:tab w:val="left" w:leader="none" w:pos="504"/>
      </w:tabs>
      <w:spacing w:before="156" w:beforeLines="50" w:after="156" w:afterLines="50" w:lineRule="auto" w:line="360"/>
      <w:outlineLvl w:val="3"/>
    </w:pPr>
    <w:rPr>
      <w:rFonts w:ascii="Arial" w:cs="Times New Roman" w:eastAsia="宋体" w:hAnsi="Arial"/>
      <w:b/>
      <w:bCs/>
      <w:sz w:val="24"/>
      <w:szCs w:val="28"/>
    </w:rPr>
  </w:style>
  <w:style w:type="paragraph" w:styleId="style5">
    <w:name w:val="heading 5"/>
    <w:basedOn w:val="style0"/>
    <w:next w:val="style0"/>
    <w:link w:val="style4104"/>
    <w:qFormat/>
    <w:uiPriority w:val="0"/>
    <w:pPr>
      <w:keepNext/>
      <w:keepLines/>
      <w:numPr>
        <w:ilvl w:val="4"/>
        <w:numId w:val="1"/>
      </w:numPr>
      <w:spacing w:before="120" w:after="120" w:lineRule="auto" w:line="360"/>
      <w:outlineLvl w:val="4"/>
    </w:pPr>
    <w:rPr>
      <w:rFonts w:ascii="Times New Roman" w:cs="Times New Roman" w:eastAsia="宋体" w:hAnsi="Times New Roman"/>
      <w:b/>
      <w:bCs/>
      <w:sz w:val="24"/>
      <w:szCs w:val="28"/>
    </w:rPr>
  </w:style>
  <w:style w:type="paragraph" w:styleId="style6">
    <w:name w:val="heading 6"/>
    <w:basedOn w:val="style0"/>
    <w:next w:val="style0"/>
    <w:link w:val="style4105"/>
    <w:qFormat/>
    <w:uiPriority w:val="0"/>
    <w:pPr>
      <w:keepNext/>
      <w:keepLines/>
      <w:numPr>
        <w:ilvl w:val="5"/>
        <w:numId w:val="1"/>
      </w:numPr>
      <w:spacing w:before="120" w:after="120" w:lineRule="auto" w:line="360"/>
      <w:outlineLvl w:val="5"/>
    </w:pPr>
    <w:rPr>
      <w:rFonts w:ascii="Cambria" w:cs="Times New Roman" w:eastAsia="宋体" w:hAnsi="Cambria"/>
      <w:b/>
      <w:bCs/>
      <w:sz w:val="24"/>
      <w:szCs w:val="24"/>
    </w:rPr>
  </w:style>
  <w:style w:type="character" w:default="1" w:styleId="style65">
    <w:name w:val="Default Paragraph Font"/>
    <w:next w:val="style65"/>
    <w:uiPriority w:val="1"/>
  </w:style>
  <w:style w:type="table" w:default="1" w:styleId="style105">
    <w:name w:val="Normal Table"/>
    <w:next w:val="style105"/>
    <w:uiPriority w:val="99"/>
    <w:pPr>
      <w:keepNext w:val="false"/>
      <w:keepLines w:val="false"/>
      <w:widowControl/>
      <w:suppressLineNumbers w:val="false"/>
      <w:spacing w:before="0" w:beforeAutospacing="false" w:after="0" w:afterAutospacing="false"/>
      <w:ind w:left="0" w:right="0"/>
    </w:pPr>
    <w:rPr>
      <w:rFonts w:ascii="Calibri" w:cs="Times New Roman" w:hAnsi="Calibri" w:hint="default"/>
      <w:sz w:val="20"/>
      <w:szCs w:val="20"/>
    </w:rPr>
    <w:tblPr>
      <w:tblCellMar>
        <w:top w:w="0" w:type="dxa"/>
        <w:left w:w="108" w:type="dxa"/>
        <w:bottom w:w="0" w:type="dxa"/>
        <w:right w:w="108" w:type="dxa"/>
      </w:tblCellMar>
    </w:tblPr>
    <w:tcPr>
      <w:tcBorders/>
    </w:tcPr>
  </w:style>
  <w:style w:type="paragraph" w:styleId="style20">
    <w:name w:val="toc 2"/>
    <w:basedOn w:val="style0"/>
    <w:next w:val="style0"/>
    <w:qFormat/>
    <w:uiPriority w:val="39"/>
    <w:pPr>
      <w:ind w:left="420" w:leftChars="200"/>
    </w:pPr>
    <w:rPr/>
  </w:style>
  <w:style w:type="paragraph" w:styleId="style30">
    <w:name w:val="annotation text"/>
    <w:basedOn w:val="style0"/>
    <w:next w:val="style30"/>
    <w:link w:val="style4108"/>
    <w:uiPriority w:val="99"/>
    <w:pPr>
      <w:jc w:val="left"/>
    </w:pPr>
    <w:rPr/>
  </w:style>
  <w:style w:type="paragraph" w:styleId="style153">
    <w:name w:val="Balloon Text"/>
    <w:basedOn w:val="style0"/>
    <w:next w:val="style153"/>
    <w:link w:val="style4106"/>
    <w:qFormat/>
    <w:uiPriority w:val="99"/>
    <w:pPr/>
    <w:rPr>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pBdr>
        <w:left w:val="none" w:sz="0" w:space="0" w:color="auto"/>
        <w:right w:val="none" w:sz="0" w:space="0" w:color="auto"/>
        <w:top w:val="none" w:sz="0" w:space="0" w:color="auto"/>
        <w:bottom w:val="none" w:sz="0" w:space="0" w:color="auto"/>
      </w:pBdr>
      <w:spacing w:before="0" w:beforeAutospacing="false" w:after="0" w:afterAutospacing="false"/>
      <w:ind w:left="0" w:right="0"/>
      <w:jc w:val="left"/>
    </w:pPr>
    <w:rPr>
      <w:kern w:val="0"/>
      <w:sz w:val="24"/>
      <w:lang w:val="en-US" w:eastAsia="zh-CN"/>
    </w:rPr>
  </w:style>
  <w:style w:type="paragraph" w:styleId="style106">
    <w:name w:val="annotation subject"/>
    <w:basedOn w:val="style30"/>
    <w:next w:val="style30"/>
    <w:link w:val="style4109"/>
    <w:qFormat/>
    <w:uiPriority w:val="99"/>
    <w:pPr/>
    <w:rPr>
      <w:b/>
      <w:bCs/>
    </w:rPr>
  </w:style>
  <w:style w:type="character" w:styleId="style87">
    <w:name w:val="Strong"/>
    <w:basedOn w:val="style65"/>
    <w:next w:val="style87"/>
    <w:qFormat/>
    <w:uiPriority w:val="22"/>
    <w:rPr>
      <w:b/>
    </w:rPr>
  </w:style>
  <w:style w:type="character" w:styleId="style86">
    <w:name w:val="FollowedHyperlink"/>
    <w:basedOn w:val="style65"/>
    <w:next w:val="style86"/>
    <w:qFormat/>
    <w:uiPriority w:val="99"/>
    <w:rPr>
      <w:color w:val="145ccd"/>
      <w:u w:val="none"/>
    </w:rPr>
  </w:style>
  <w:style w:type="character" w:styleId="style88">
    <w:name w:val="Emphasis"/>
    <w:basedOn w:val="style65"/>
    <w:next w:val="style88"/>
    <w:qFormat/>
    <w:uiPriority w:val="20"/>
    <w:rPr>
      <w:b/>
    </w:rPr>
  </w:style>
  <w:style w:type="character" w:styleId="style99">
    <w:name w:val="HTML Definition"/>
    <w:basedOn w:val="style65"/>
    <w:next w:val="style99"/>
    <w:qFormat/>
    <w:uiPriority w:val="99"/>
  </w:style>
  <w:style w:type="character" w:styleId="style103">
    <w:name w:val="HTML Typewriter"/>
    <w:basedOn w:val="style65"/>
    <w:next w:val="style103"/>
    <w:qFormat/>
    <w:uiPriority w:val="99"/>
    <w:rPr>
      <w:rFonts w:ascii="monospace" w:cs="monospace" w:eastAsia="monospace" w:hAnsi="monospace" w:hint="default"/>
      <w:sz w:val="20"/>
    </w:rPr>
  </w:style>
  <w:style w:type="character" w:styleId="style95">
    <w:name w:val="HTML Acronym"/>
    <w:basedOn w:val="style65"/>
    <w:next w:val="style95"/>
    <w:qFormat/>
    <w:uiPriority w:val="99"/>
  </w:style>
  <w:style w:type="character" w:styleId="style104">
    <w:name w:val="HTML Variable"/>
    <w:basedOn w:val="style65"/>
    <w:next w:val="style104"/>
    <w:qFormat/>
    <w:uiPriority w:val="99"/>
  </w:style>
  <w:style w:type="character" w:styleId="style85">
    <w:name w:val="Hyperlink"/>
    <w:basedOn w:val="style65"/>
    <w:next w:val="style85"/>
    <w:qFormat/>
    <w:uiPriority w:val="99"/>
    <w:rPr>
      <w:color w:val="145ccd"/>
      <w:u w:val="none"/>
    </w:rPr>
  </w:style>
  <w:style w:type="character" w:styleId="style98">
    <w:name w:val="HTML Code"/>
    <w:basedOn w:val="style65"/>
    <w:next w:val="style98"/>
    <w:qFormat/>
    <w:uiPriority w:val="99"/>
    <w:rPr>
      <w:rFonts w:ascii="monospace" w:cs="monospace" w:eastAsia="monospace" w:hAnsi="monospace" w:hint="default"/>
      <w:sz w:val="20"/>
    </w:rPr>
  </w:style>
  <w:style w:type="character" w:styleId="style39">
    <w:name w:val="annotation reference"/>
    <w:basedOn w:val="style65"/>
    <w:next w:val="style39"/>
    <w:qFormat/>
    <w:uiPriority w:val="99"/>
    <w:rPr>
      <w:sz w:val="21"/>
      <w:szCs w:val="21"/>
    </w:rPr>
  </w:style>
  <w:style w:type="character" w:styleId="style97">
    <w:name w:val="HTML Cite"/>
    <w:basedOn w:val="style65"/>
    <w:next w:val="style97"/>
    <w:qFormat/>
    <w:uiPriority w:val="99"/>
  </w:style>
  <w:style w:type="character" w:styleId="style100">
    <w:name w:val="HTML Keyboard"/>
    <w:basedOn w:val="style65"/>
    <w:next w:val="style100"/>
    <w:qFormat/>
    <w:uiPriority w:val="99"/>
    <w:rPr>
      <w:rFonts w:ascii="monospace" w:cs="monospace" w:eastAsia="monospace" w:hAnsi="monospace" w:hint="default"/>
      <w:sz w:val="20"/>
    </w:rPr>
  </w:style>
  <w:style w:type="character" w:styleId="style102">
    <w:name w:val="HTML Sample"/>
    <w:basedOn w:val="style65"/>
    <w:next w:val="style102"/>
    <w:qFormat/>
    <w:uiPriority w:val="99"/>
    <w:rPr>
      <w:rFonts w:ascii="monospace" w:cs="monospace" w:eastAsia="monospace" w:hAnsi="monospace"/>
    </w:rPr>
  </w:style>
  <w:style w:type="paragraph" w:customStyle="1" w:styleId="style4097">
    <w:name w:val="首行缩进"/>
    <w:basedOn w:val="style0"/>
    <w:next w:val="style4097"/>
    <w:qFormat/>
    <w:uiPriority w:val="0"/>
    <w:pPr>
      <w:spacing w:lineRule="auto" w:line="360"/>
      <w:ind w:firstLine="480" w:firstLineChars="200"/>
      <w:jc w:val="left"/>
    </w:pPr>
    <w:rPr>
      <w:rFonts w:ascii="宋体" w:hAnsi="宋体"/>
      <w:sz w:val="24"/>
    </w:rPr>
  </w:style>
  <w:style w:type="character" w:customStyle="1" w:styleId="style4098">
    <w:name w:val="页眉 字符"/>
    <w:basedOn w:val="style65"/>
    <w:next w:val="style4098"/>
    <w:link w:val="style31"/>
    <w:qFormat/>
    <w:uiPriority w:val="99"/>
    <w:rPr>
      <w:sz w:val="18"/>
      <w:szCs w:val="18"/>
    </w:rPr>
  </w:style>
  <w:style w:type="character" w:customStyle="1" w:styleId="style4099">
    <w:name w:val="页脚 字符"/>
    <w:basedOn w:val="style65"/>
    <w:next w:val="style4099"/>
    <w:link w:val="style32"/>
    <w:qFormat/>
    <w:uiPriority w:val="99"/>
    <w:rPr>
      <w:sz w:val="18"/>
      <w:szCs w:val="18"/>
    </w:rPr>
  </w:style>
  <w:style w:type="character" w:customStyle="1" w:styleId="style4100">
    <w:name w:val="标题 1 字符"/>
    <w:basedOn w:val="style65"/>
    <w:next w:val="style4100"/>
    <w:link w:val="style1"/>
    <w:qFormat/>
    <w:uiPriority w:val="0"/>
    <w:rPr>
      <w:rFonts w:ascii="Times New Roman" w:cs="Times New Roman" w:eastAsia="黑体" w:hAnsi="Times New Roman"/>
      <w:b/>
      <w:bCs/>
      <w:kern w:val="44"/>
      <w:sz w:val="32"/>
      <w:szCs w:val="28"/>
    </w:rPr>
  </w:style>
  <w:style w:type="character" w:customStyle="1" w:styleId="style4101">
    <w:name w:val="标题 2 字符"/>
    <w:basedOn w:val="style65"/>
    <w:next w:val="style4101"/>
    <w:link w:val="style2"/>
    <w:qFormat/>
    <w:uiPriority w:val="0"/>
    <w:rPr>
      <w:rFonts w:ascii="Times New Roman" w:cs="Times New Roman" w:eastAsia="宋体" w:hAnsi="Times New Roman"/>
      <w:b/>
      <w:bCs/>
      <w:sz w:val="30"/>
      <w:szCs w:val="32"/>
    </w:rPr>
  </w:style>
  <w:style w:type="character" w:customStyle="1" w:styleId="style4102">
    <w:name w:val="标题 3 字符"/>
    <w:basedOn w:val="style65"/>
    <w:next w:val="style4102"/>
    <w:link w:val="style3"/>
    <w:qFormat/>
    <w:uiPriority w:val="0"/>
    <w:rPr>
      <w:rFonts w:ascii="Times New Roman" w:cs="Times New Roman" w:eastAsia="宋体" w:hAnsi="Times New Roman"/>
      <w:b/>
      <w:bCs/>
      <w:sz w:val="28"/>
      <w:szCs w:val="18"/>
    </w:rPr>
  </w:style>
  <w:style w:type="character" w:customStyle="1" w:styleId="style4103">
    <w:name w:val="标题 4 字符"/>
    <w:basedOn w:val="style65"/>
    <w:next w:val="style4103"/>
    <w:link w:val="style4"/>
    <w:qFormat/>
    <w:uiPriority w:val="0"/>
    <w:rPr>
      <w:rFonts w:ascii="Arial" w:cs="Times New Roman" w:eastAsia="宋体" w:hAnsi="Arial"/>
      <w:b/>
      <w:bCs/>
      <w:sz w:val="24"/>
      <w:szCs w:val="28"/>
    </w:rPr>
  </w:style>
  <w:style w:type="character" w:customStyle="1" w:styleId="style4104">
    <w:name w:val="标题 5 字符"/>
    <w:basedOn w:val="style65"/>
    <w:next w:val="style4104"/>
    <w:link w:val="style5"/>
    <w:qFormat/>
    <w:uiPriority w:val="0"/>
    <w:rPr>
      <w:rFonts w:ascii="Times New Roman" w:cs="Times New Roman" w:eastAsia="宋体" w:hAnsi="Times New Roman"/>
      <w:b/>
      <w:bCs/>
      <w:sz w:val="24"/>
      <w:szCs w:val="28"/>
    </w:rPr>
  </w:style>
  <w:style w:type="character" w:customStyle="1" w:styleId="style4105">
    <w:name w:val="标题 6 字符"/>
    <w:basedOn w:val="style65"/>
    <w:next w:val="style4105"/>
    <w:link w:val="style6"/>
    <w:qFormat/>
    <w:uiPriority w:val="0"/>
    <w:rPr>
      <w:rFonts w:ascii="Cambria" w:cs="Times New Roman" w:eastAsia="宋体" w:hAnsi="Cambria"/>
      <w:b/>
      <w:bCs/>
      <w:sz w:val="24"/>
      <w:szCs w:val="24"/>
    </w:rPr>
  </w:style>
  <w:style w:type="paragraph" w:styleId="style179">
    <w:name w:val="List Paragraph"/>
    <w:basedOn w:val="style0"/>
    <w:next w:val="style179"/>
    <w:qFormat/>
    <w:uiPriority w:val="34"/>
    <w:pPr>
      <w:ind w:firstLine="420" w:firstLineChars="200"/>
    </w:pPr>
    <w:rPr/>
  </w:style>
  <w:style w:type="character" w:customStyle="1" w:styleId="style4106">
    <w:name w:val="批注框文本 字符"/>
    <w:basedOn w:val="style65"/>
    <w:next w:val="style4106"/>
    <w:link w:val="style153"/>
    <w:qFormat/>
    <w:uiPriority w:val="99"/>
    <w:rPr>
      <w:sz w:val="18"/>
      <w:szCs w:val="18"/>
    </w:rPr>
  </w:style>
  <w:style w:type="character" w:customStyle="1" w:styleId="style4107">
    <w:name w:val="hover3"/>
    <w:basedOn w:val="style65"/>
    <w:next w:val="style4107"/>
    <w:qFormat/>
    <w:uiPriority w:val="0"/>
    <w:rPr>
      <w:color w:val="eb0909"/>
    </w:rPr>
  </w:style>
  <w:style w:type="character" w:customStyle="1" w:styleId="style4108">
    <w:name w:val="批注文字 字符"/>
    <w:basedOn w:val="style65"/>
    <w:next w:val="style4108"/>
    <w:link w:val="style30"/>
    <w:qFormat/>
    <w:uiPriority w:val="99"/>
    <w:rPr>
      <w:rFonts w:ascii="Calibri" w:cs="宋体" w:eastAsia="宋体" w:hAnsi="Calibri"/>
      <w:kern w:val="2"/>
      <w:sz w:val="21"/>
      <w:szCs w:val="22"/>
    </w:rPr>
  </w:style>
  <w:style w:type="character" w:customStyle="1" w:styleId="style4109">
    <w:name w:val="批注主题 字符"/>
    <w:basedOn w:val="style4108"/>
    <w:next w:val="style4109"/>
    <w:link w:val="style106"/>
    <w:qFormat/>
    <w:uiPriority w:val="99"/>
    <w:rPr>
      <w:rFonts w:ascii="Calibri" w:cs="宋体" w:eastAsia="宋体" w:hAnsi="Calibri"/>
      <w:b/>
      <w:bCs/>
      <w:kern w:val="2"/>
      <w:sz w:val="21"/>
      <w:szCs w:val="22"/>
    </w:rPr>
  </w:style>
  <w:style w:type="paragraph" w:customStyle="1" w:styleId="style4110">
    <w:name w:val="正文2"/>
    <w:basedOn w:val="style0"/>
    <w:next w:val="style4110"/>
    <w:qFormat/>
    <w:uiPriority w:val="0"/>
    <w:pPr>
      <w:spacing w:lineRule="auto" w:line="360"/>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Words>2398</Words>
  <Pages>5</Pages>
  <Characters>2453</Characters>
  <Application>WPS Office</Application>
  <DocSecurity>0</DocSecurity>
  <Paragraphs>69</Paragraphs>
  <ScaleCrop>false</ScaleCrop>
  <LinksUpToDate>false</LinksUpToDate>
  <CharactersWithSpaces>2467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2018-12-28T01:57:00Z</dcterms:created>
  <dc:creator>陈 家恒</dc:creator>
  <lastModifiedBy>SP200</lastModifiedBy>
  <lastPrinted>2023-05-26T02:18:47Z</lastPrinted>
  <dcterms:modified xsi:type="dcterms:W3CDTF">2023-09-11T03:13:57Z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2206A6851AB1454B8412C28EC48B1E92_13</vt:lpwstr>
  </property>
</Properties>
</file>